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F6" w:rsidRDefault="000112BC">
      <w:pPr>
        <w:ind w:firstLineChars="0" w:firstLine="0"/>
        <w:rPr>
          <w:rFonts w:ascii="楷体_GB2312" w:hAnsi="楷体_GB2312" w:cs="楷体_GB2312"/>
          <w:bCs/>
        </w:rPr>
      </w:pPr>
      <w:r>
        <w:rPr>
          <w:rFonts w:cs="Times New Roman"/>
          <w:szCs w:val="24"/>
        </w:rPr>
        <w:pict>
          <v:shapetype id="_x0000_t202" coordsize="21600,21600" o:spt="202" path="m,l,21600r21600,l21600,xe">
            <v:stroke joinstyle="miter"/>
            <v:path gradientshapeok="t" o:connecttype="rect"/>
          </v:shapetype>
          <v:shape id="文本框 14" o:spid="_x0000_s1026" type="#_x0000_t202" style="position:absolute;left:0;text-align:left;margin-left:45pt;margin-top:20.1pt;width:90pt;height:54.6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" filled="f" stroked="f">
            <v:textbox>
              <w:txbxContent>
                <w:p w:rsidR="00FE7DF6" w:rsidRDefault="00162274">
                  <w:pPr>
                    <w:spacing w:line="440" w:lineRule="exact"/>
                    <w:ind w:firstLineChars="0" w:firstLine="0"/>
                    <w:rPr>
                      <w:rFonts w:eastAsia="黑体"/>
                      <w:b/>
                      <w:bCs/>
                      <w:sz w:val="28"/>
                    </w:rPr>
                  </w:pPr>
                  <w:r>
                    <w:rPr>
                      <w:rFonts w:eastAsia="黑体" w:hint="eastAsia"/>
                      <w:b/>
                      <w:bCs/>
                      <w:sz w:val="28"/>
                    </w:rPr>
                    <w:t>内部信息</w:t>
                  </w:r>
                </w:p>
                <w:p w:rsidR="00FE7DF6" w:rsidRDefault="00162274">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p>
    <w:p w:rsidR="00FE7DF6" w:rsidRDefault="00162274">
      <w:pPr>
        <w:widowControl w:val="0"/>
        <w:spacing w:line="360" w:lineRule="auto"/>
        <w:ind w:firstLine="480"/>
        <w:contextualSpacing/>
        <w:jc w:val="center"/>
        <w:rPr>
          <w:rFonts w:eastAsia="华文行楷" w:cs="Times New Roman"/>
          <w:color w:val="000000"/>
          <w:spacing w:val="-24"/>
          <w:sz w:val="84"/>
          <w:szCs w:val="84"/>
        </w:rPr>
      </w:pPr>
      <w:bookmarkStart w:id="0" w:name="_Toc295507288"/>
      <w:bookmarkStart w:id="1" w:name="_Toc295507426"/>
      <w:bookmarkStart w:id="2" w:name="_Toc295507397"/>
      <w:r>
        <w:rPr>
          <w:rFonts w:cs="Times New Roman"/>
          <w:noProof/>
          <w:szCs w:val="24"/>
        </w:rPr>
        <w:drawing>
          <wp:anchor distT="0" distB="0" distL="114300" distR="114300" simplePos="0" relativeHeight="251660288" behindDoc="0" locked="0" layoutInCell="1" allowOverlap="1">
            <wp:simplePos x="0" y="0"/>
            <wp:positionH relativeFrom="column">
              <wp:posOffset>-571500</wp:posOffset>
            </wp:positionH>
            <wp:positionV relativeFrom="paragraph">
              <wp:posOffset>-297180</wp:posOffset>
            </wp:positionV>
            <wp:extent cx="1144905" cy="1141095"/>
            <wp:effectExtent l="0" t="0" r="0" b="1905"/>
            <wp:wrapTopAndBottom/>
            <wp:docPr id="13" name="图片 1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SW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44905" cy="1141095"/>
                    </a:xfrm>
                    <a:prstGeom prst="rect">
                      <a:avLst/>
                    </a:prstGeom>
                    <a:noFill/>
                    <a:ln>
                      <a:noFill/>
                    </a:ln>
                  </pic:spPr>
                </pic:pic>
              </a:graphicData>
            </a:graphic>
          </wp:anchor>
        </w:drawing>
      </w:r>
      <w:r>
        <w:rPr>
          <w:rFonts w:eastAsia="华文行楷" w:cs="Times New Roman" w:hint="eastAsia"/>
          <w:color w:val="000000"/>
          <w:spacing w:val="-24"/>
          <w:sz w:val="84"/>
          <w:szCs w:val="84"/>
        </w:rPr>
        <w:t>税收信息政策辅导</w:t>
      </w:r>
    </w:p>
    <w:p w:rsidR="00FE7DF6" w:rsidRDefault="000112BC">
      <w:pPr>
        <w:spacing w:line="360" w:lineRule="auto"/>
        <w:ind w:firstLine="482"/>
        <w:jc w:val="center"/>
        <w:rPr>
          <w:rFonts w:eastAsia="华文行楷"/>
          <w:color w:val="000000"/>
          <w:spacing w:val="-24"/>
          <w:sz w:val="84"/>
          <w:szCs w:val="84"/>
        </w:rPr>
      </w:pPr>
      <w:r>
        <w:rPr>
          <w:rFonts w:cs="Times New Roman"/>
          <w:b/>
          <w:szCs w:val="24"/>
        </w:rPr>
        <w:pict>
          <v:shape id="文本框 2" o:spid="_x0000_s1027" type="#_x0000_t202" style="position:absolute;left:0;text-align:left;margin-left:168pt;margin-top:21.4pt;width:55.55pt;height:55.5pt;z-index:2516633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" filled="f" stroked="f">
            <v:textbox>
              <w:txbxContent>
                <w:p w:rsidR="00FE7DF6" w:rsidRDefault="00162274">
                  <w:pPr>
                    <w:spacing w:line="400" w:lineRule="exact"/>
                    <w:ind w:firstLineChars="0" w:firstLine="0"/>
                    <w:rPr>
                      <w:rFonts w:eastAsia="黑体"/>
                      <w:b/>
                      <w:bCs/>
                      <w:sz w:val="32"/>
                    </w:rPr>
                  </w:pPr>
                  <w:r>
                    <w:rPr>
                      <w:rFonts w:eastAsia="黑体" w:hint="eastAsia"/>
                      <w:b/>
                      <w:bCs/>
                      <w:sz w:val="32"/>
                    </w:rPr>
                    <w:t>欢迎</w:t>
                  </w:r>
                </w:p>
                <w:p w:rsidR="00FE7DF6" w:rsidRDefault="00162274">
                  <w:pPr>
                    <w:spacing w:line="400" w:lineRule="exact"/>
                    <w:ind w:firstLineChars="0" w:firstLine="0"/>
                    <w:rPr>
                      <w:sz w:val="32"/>
                    </w:rPr>
                  </w:pPr>
                  <w:r>
                    <w:rPr>
                      <w:rFonts w:eastAsia="黑体" w:hint="eastAsia"/>
                      <w:b/>
                      <w:bCs/>
                      <w:sz w:val="32"/>
                    </w:rPr>
                    <w:t>咨询</w:t>
                  </w:r>
                </w:p>
              </w:txbxContent>
            </v:textbox>
          </v:shape>
        </w:pict>
      </w:r>
      <w:r w:rsidR="00162274">
        <w:rPr>
          <w:b/>
        </w:rPr>
        <w:t>201</w:t>
      </w:r>
      <w:r w:rsidR="00162274">
        <w:rPr>
          <w:rFonts w:hint="eastAsia"/>
          <w:b/>
        </w:rPr>
        <w:t>7</w:t>
      </w:r>
      <w:r w:rsidR="00162274">
        <w:rPr>
          <w:rFonts w:hint="eastAsia"/>
          <w:b/>
        </w:rPr>
        <w:t>年</w:t>
      </w:r>
      <w:r w:rsidR="00162274">
        <w:rPr>
          <w:rFonts w:hint="eastAsia"/>
          <w:b/>
        </w:rPr>
        <w:t>09</w:t>
      </w:r>
      <w:r w:rsidR="00162274">
        <w:rPr>
          <w:rFonts w:hint="eastAsia"/>
          <w:b/>
        </w:rPr>
        <w:t>月</w:t>
      </w:r>
      <w:r w:rsidR="00162274">
        <w:rPr>
          <w:rFonts w:hint="eastAsia"/>
          <w:b/>
        </w:rPr>
        <w:t>30</w:t>
      </w:r>
      <w:r w:rsidR="00162274">
        <w:rPr>
          <w:rFonts w:hint="eastAsia"/>
          <w:b/>
        </w:rPr>
        <w:t>日（第</w:t>
      </w:r>
      <w:r w:rsidR="00162274">
        <w:rPr>
          <w:rFonts w:hint="eastAsia"/>
          <w:b/>
        </w:rPr>
        <w:t>15</w:t>
      </w:r>
      <w:r w:rsidR="00162274">
        <w:rPr>
          <w:rFonts w:hint="eastAsia"/>
          <w:b/>
        </w:rPr>
        <w:t>期）</w:t>
      </w:r>
    </w:p>
    <w:p w:rsidR="00FE7DF6" w:rsidRDefault="00162274">
      <w:pPr>
        <w:widowControl w:val="0"/>
        <w:spacing w:before="100" w:beforeAutospacing="1" w:after="100" w:afterAutospacing="1" w:line="340" w:lineRule="exact"/>
        <w:ind w:rightChars="-274" w:right="-658" w:firstLineChars="0" w:firstLine="0"/>
        <w:contextualSpacing/>
        <w:rPr>
          <w:rFonts w:cs="Times New Roman"/>
          <w:b/>
          <w:szCs w:val="24"/>
        </w:rPr>
      </w:pPr>
      <w:r>
        <w:rPr>
          <w:rFonts w:cs="Times New Roman" w:hint="eastAsia"/>
          <w:b/>
          <w:szCs w:val="24"/>
        </w:rPr>
        <w:t>宁</w:t>
      </w:r>
      <w:r>
        <w:rPr>
          <w:rFonts w:cs="Times New Roman" w:hint="eastAsia"/>
          <w:b/>
          <w:szCs w:val="24"/>
        </w:rPr>
        <w:t xml:space="preserve"> </w:t>
      </w:r>
      <w:r>
        <w:rPr>
          <w:rFonts w:cs="Times New Roman" w:hint="eastAsia"/>
          <w:b/>
          <w:szCs w:val="24"/>
        </w:rPr>
        <w:t>波</w:t>
      </w:r>
      <w:r>
        <w:rPr>
          <w:rFonts w:cs="Times New Roman" w:hint="eastAsia"/>
          <w:b/>
          <w:szCs w:val="24"/>
        </w:rPr>
        <w:t xml:space="preserve"> </w:t>
      </w:r>
      <w:r>
        <w:rPr>
          <w:rFonts w:cs="Times New Roman" w:hint="eastAsia"/>
          <w:b/>
          <w:szCs w:val="24"/>
        </w:rPr>
        <w:t>中</w:t>
      </w:r>
      <w:r>
        <w:rPr>
          <w:rFonts w:cs="Times New Roman" w:hint="eastAsia"/>
          <w:b/>
          <w:szCs w:val="24"/>
        </w:rPr>
        <w:t xml:space="preserve"> </w:t>
      </w:r>
      <w:r>
        <w:rPr>
          <w:rFonts w:cs="Times New Roman" w:hint="eastAsia"/>
          <w:b/>
          <w:szCs w:val="24"/>
        </w:rPr>
        <w:t>瑞</w:t>
      </w:r>
      <w:r>
        <w:rPr>
          <w:rFonts w:cs="Times New Roman" w:hint="eastAsia"/>
          <w:b/>
          <w:szCs w:val="24"/>
        </w:rPr>
        <w:t xml:space="preserve"> </w:t>
      </w:r>
      <w:r>
        <w:rPr>
          <w:rFonts w:cs="Times New Roman" w:hint="eastAsia"/>
          <w:b/>
          <w:szCs w:val="24"/>
        </w:rPr>
        <w:t>税</w:t>
      </w:r>
      <w:r>
        <w:rPr>
          <w:rFonts w:cs="Times New Roman" w:hint="eastAsia"/>
          <w:b/>
          <w:szCs w:val="24"/>
        </w:rPr>
        <w:t xml:space="preserve"> </w:t>
      </w:r>
      <w:proofErr w:type="gramStart"/>
      <w:r>
        <w:rPr>
          <w:rFonts w:cs="Times New Roman" w:hint="eastAsia"/>
          <w:b/>
          <w:szCs w:val="24"/>
        </w:rPr>
        <w:t>务</w:t>
      </w:r>
      <w:proofErr w:type="gramEnd"/>
      <w:r>
        <w:rPr>
          <w:rFonts w:cs="Times New Roman" w:hint="eastAsia"/>
          <w:b/>
          <w:szCs w:val="24"/>
        </w:rPr>
        <w:t xml:space="preserve"> </w:t>
      </w:r>
      <w:r>
        <w:rPr>
          <w:rFonts w:cs="Times New Roman" w:hint="eastAsia"/>
          <w:b/>
          <w:szCs w:val="24"/>
        </w:rPr>
        <w:t>师</w:t>
      </w:r>
      <w:r>
        <w:rPr>
          <w:rFonts w:cs="Times New Roman" w:hint="eastAsia"/>
          <w:b/>
          <w:szCs w:val="24"/>
        </w:rPr>
        <w:t xml:space="preserve"> </w:t>
      </w:r>
      <w:r>
        <w:rPr>
          <w:rFonts w:cs="Times New Roman" w:hint="eastAsia"/>
          <w:b/>
          <w:szCs w:val="24"/>
        </w:rPr>
        <w:t>事</w:t>
      </w:r>
      <w:r>
        <w:rPr>
          <w:rFonts w:cs="Times New Roman" w:hint="eastAsia"/>
          <w:b/>
          <w:szCs w:val="24"/>
        </w:rPr>
        <w:t xml:space="preserve"> </w:t>
      </w:r>
      <w:proofErr w:type="gramStart"/>
      <w:r>
        <w:rPr>
          <w:rFonts w:cs="Times New Roman" w:hint="eastAsia"/>
          <w:b/>
          <w:szCs w:val="24"/>
        </w:rPr>
        <w:t>务</w:t>
      </w:r>
      <w:proofErr w:type="gramEnd"/>
      <w:r>
        <w:rPr>
          <w:rFonts w:cs="Times New Roman" w:hint="eastAsia"/>
          <w:b/>
          <w:szCs w:val="24"/>
        </w:rPr>
        <w:t xml:space="preserve"> </w:t>
      </w:r>
      <w:r>
        <w:rPr>
          <w:rFonts w:cs="Times New Roman" w:hint="eastAsia"/>
          <w:b/>
          <w:szCs w:val="24"/>
        </w:rPr>
        <w:t>所</w:t>
      </w:r>
      <w:r>
        <w:rPr>
          <w:rFonts w:cs="Times New Roman" w:hint="eastAsia"/>
          <w:b/>
          <w:szCs w:val="24"/>
        </w:rPr>
        <w:t xml:space="preserve">      </w:t>
      </w:r>
      <w:r>
        <w:rPr>
          <w:rFonts w:cs="Times New Roman" w:hint="eastAsia"/>
          <w:b/>
          <w:szCs w:val="24"/>
        </w:rPr>
        <w:t>地址：中山西路</w:t>
      </w:r>
      <w:r>
        <w:rPr>
          <w:rFonts w:cs="Times New Roman"/>
          <w:b/>
          <w:szCs w:val="24"/>
        </w:rPr>
        <w:t>11</w:t>
      </w:r>
      <w:r>
        <w:rPr>
          <w:rFonts w:cs="Times New Roman" w:hint="eastAsia"/>
          <w:b/>
          <w:szCs w:val="24"/>
        </w:rPr>
        <w:t>号海</w:t>
      </w:r>
      <w:proofErr w:type="gramStart"/>
      <w:r>
        <w:rPr>
          <w:rFonts w:cs="Times New Roman" w:hint="eastAsia"/>
          <w:b/>
          <w:szCs w:val="24"/>
        </w:rPr>
        <w:t>曙</w:t>
      </w:r>
      <w:proofErr w:type="gramEnd"/>
      <w:r>
        <w:rPr>
          <w:rFonts w:cs="Times New Roman" w:hint="eastAsia"/>
          <w:b/>
          <w:szCs w:val="24"/>
        </w:rPr>
        <w:t>大厦</w:t>
      </w:r>
      <w:r>
        <w:rPr>
          <w:rFonts w:cs="Times New Roman"/>
          <w:b/>
          <w:szCs w:val="24"/>
        </w:rPr>
        <w:t>4</w:t>
      </w:r>
      <w:r>
        <w:rPr>
          <w:rFonts w:cs="Times New Roman" w:hint="eastAsia"/>
          <w:b/>
          <w:szCs w:val="24"/>
        </w:rPr>
        <w:t>楼</w:t>
      </w:r>
    </w:p>
    <w:p w:rsidR="00FE7DF6" w:rsidRDefault="00162274">
      <w:pPr>
        <w:widowControl w:val="0"/>
        <w:spacing w:before="100" w:beforeAutospacing="1" w:after="100" w:afterAutospacing="1" w:line="340" w:lineRule="exact"/>
        <w:ind w:firstLineChars="1762" w:firstLine="4245"/>
        <w:contextualSpacing/>
        <w:rPr>
          <w:rFonts w:cs="Times New Roman"/>
          <w:b/>
          <w:szCs w:val="24"/>
        </w:rPr>
      </w:pPr>
      <w:r>
        <w:rPr>
          <w:rFonts w:cs="Times New Roman" w:hint="eastAsia"/>
          <w:b/>
          <w:szCs w:val="24"/>
        </w:rPr>
        <w:t>电话</w:t>
      </w:r>
      <w:r>
        <w:rPr>
          <w:rFonts w:cs="Times New Roman" w:hint="eastAsia"/>
          <w:b/>
          <w:szCs w:val="24"/>
        </w:rPr>
        <w:t>(</w:t>
      </w:r>
      <w:r>
        <w:rPr>
          <w:rFonts w:cs="Times New Roman" w:hint="eastAsia"/>
          <w:b/>
          <w:szCs w:val="24"/>
        </w:rPr>
        <w:t>传真</w:t>
      </w:r>
      <w:r>
        <w:rPr>
          <w:rFonts w:cs="Times New Roman"/>
          <w:b/>
          <w:szCs w:val="24"/>
        </w:rPr>
        <w:t>)</w:t>
      </w:r>
      <w:r>
        <w:rPr>
          <w:rFonts w:cs="Times New Roman" w:hint="eastAsia"/>
          <w:b/>
          <w:szCs w:val="24"/>
        </w:rPr>
        <w:t>：</w:t>
      </w:r>
      <w:r>
        <w:rPr>
          <w:rFonts w:cs="Times New Roman"/>
          <w:b/>
          <w:szCs w:val="24"/>
        </w:rPr>
        <w:t>87179210 87179200</w:t>
      </w:r>
      <w:r>
        <w:rPr>
          <w:rFonts w:cs="Times New Roman" w:hint="eastAsia"/>
          <w:b/>
          <w:szCs w:val="24"/>
        </w:rPr>
        <w:t>（原</w:t>
      </w:r>
      <w:r>
        <w:rPr>
          <w:rFonts w:cs="Times New Roman" w:hint="eastAsia"/>
          <w:b/>
          <w:szCs w:val="24"/>
        </w:rPr>
        <w:t xml:space="preserve"> </w:t>
      </w:r>
      <w:r>
        <w:rPr>
          <w:rFonts w:cs="Times New Roman" w:hint="eastAsia"/>
          <w:b/>
          <w:szCs w:val="24"/>
        </w:rPr>
        <w:t>宁</w:t>
      </w:r>
      <w:r>
        <w:rPr>
          <w:rFonts w:cs="Times New Roman" w:hint="eastAsia"/>
          <w:b/>
          <w:szCs w:val="24"/>
        </w:rPr>
        <w:t xml:space="preserve"> </w:t>
      </w:r>
      <w:r>
        <w:rPr>
          <w:rFonts w:cs="Times New Roman" w:hint="eastAsia"/>
          <w:b/>
          <w:szCs w:val="24"/>
        </w:rPr>
        <w:t>波</w:t>
      </w:r>
      <w:r>
        <w:rPr>
          <w:rFonts w:cs="Times New Roman" w:hint="eastAsia"/>
          <w:b/>
          <w:szCs w:val="24"/>
        </w:rPr>
        <w:t xml:space="preserve"> </w:t>
      </w:r>
      <w:r>
        <w:rPr>
          <w:rFonts w:cs="Times New Roman" w:hint="eastAsia"/>
          <w:b/>
          <w:szCs w:val="24"/>
        </w:rPr>
        <w:t>市</w:t>
      </w:r>
      <w:r>
        <w:rPr>
          <w:rFonts w:cs="Times New Roman" w:hint="eastAsia"/>
          <w:b/>
          <w:szCs w:val="24"/>
        </w:rPr>
        <w:t xml:space="preserve"> </w:t>
      </w:r>
      <w:r>
        <w:rPr>
          <w:rFonts w:cs="Times New Roman" w:hint="eastAsia"/>
          <w:b/>
          <w:szCs w:val="24"/>
        </w:rPr>
        <w:t>税</w:t>
      </w:r>
      <w:r>
        <w:rPr>
          <w:rFonts w:cs="Times New Roman" w:hint="eastAsia"/>
          <w:b/>
          <w:szCs w:val="24"/>
        </w:rPr>
        <w:t xml:space="preserve"> </w:t>
      </w:r>
      <w:proofErr w:type="gramStart"/>
      <w:r>
        <w:rPr>
          <w:rFonts w:cs="Times New Roman" w:hint="eastAsia"/>
          <w:b/>
          <w:szCs w:val="24"/>
        </w:rPr>
        <w:t>务</w:t>
      </w:r>
      <w:proofErr w:type="gramEnd"/>
      <w:r>
        <w:rPr>
          <w:rFonts w:cs="Times New Roman" w:hint="eastAsia"/>
          <w:b/>
          <w:szCs w:val="24"/>
        </w:rPr>
        <w:t xml:space="preserve"> </w:t>
      </w:r>
      <w:r>
        <w:rPr>
          <w:rFonts w:cs="Times New Roman" w:hint="eastAsia"/>
          <w:b/>
          <w:szCs w:val="24"/>
        </w:rPr>
        <w:t>师</w:t>
      </w:r>
      <w:r>
        <w:rPr>
          <w:rFonts w:cs="Times New Roman" w:hint="eastAsia"/>
          <w:b/>
          <w:szCs w:val="24"/>
        </w:rPr>
        <w:t xml:space="preserve"> </w:t>
      </w:r>
      <w:r>
        <w:rPr>
          <w:rFonts w:cs="Times New Roman" w:hint="eastAsia"/>
          <w:b/>
          <w:szCs w:val="24"/>
        </w:rPr>
        <w:t>事</w:t>
      </w:r>
      <w:r>
        <w:rPr>
          <w:rFonts w:cs="Times New Roman" w:hint="eastAsia"/>
          <w:b/>
          <w:szCs w:val="24"/>
        </w:rPr>
        <w:t xml:space="preserve"> </w:t>
      </w:r>
      <w:proofErr w:type="gramStart"/>
      <w:r>
        <w:rPr>
          <w:rFonts w:cs="Times New Roman" w:hint="eastAsia"/>
          <w:b/>
          <w:szCs w:val="24"/>
        </w:rPr>
        <w:t>务</w:t>
      </w:r>
      <w:proofErr w:type="gramEnd"/>
      <w:r>
        <w:rPr>
          <w:rFonts w:cs="Times New Roman" w:hint="eastAsia"/>
          <w:b/>
          <w:szCs w:val="24"/>
        </w:rPr>
        <w:t>所）</w:t>
      </w:r>
      <w:r>
        <w:rPr>
          <w:rFonts w:cs="Times New Roman" w:hint="eastAsia"/>
          <w:b/>
          <w:szCs w:val="24"/>
        </w:rPr>
        <w:t xml:space="preserve">     </w:t>
      </w:r>
      <w:r>
        <w:rPr>
          <w:rFonts w:cs="Times New Roman"/>
          <w:b/>
          <w:szCs w:val="24"/>
        </w:rPr>
        <w:t>E-mail</w:t>
      </w:r>
      <w:r>
        <w:rPr>
          <w:rFonts w:cs="Times New Roman" w:hint="eastAsia"/>
          <w:b/>
          <w:szCs w:val="24"/>
        </w:rPr>
        <w:t>：</w:t>
      </w:r>
      <w:r>
        <w:rPr>
          <w:rFonts w:cs="Times New Roman"/>
          <w:b/>
          <w:szCs w:val="24"/>
        </w:rPr>
        <w:t>info@cntax.cn</w:t>
      </w:r>
    </w:p>
    <w:bookmarkEnd w:id="0"/>
    <w:bookmarkEnd w:id="1"/>
    <w:bookmarkEnd w:id="2"/>
    <w:p w:rsidR="00FE7DF6" w:rsidRDefault="000112BC">
      <w:pPr>
        <w:widowControl w:val="0"/>
        <w:spacing w:line="340" w:lineRule="exact"/>
        <w:ind w:firstLine="480"/>
        <w:contextualSpacing/>
        <w:rPr>
          <w:rFonts w:ascii="黑体" w:eastAsia="黑体" w:cs="Times New Roman"/>
          <w:b/>
          <w:color w:val="000000"/>
          <w:sz w:val="32"/>
          <w:szCs w:val="24"/>
        </w:rPr>
      </w:pPr>
      <w:r>
        <w:rPr>
          <w:rFonts w:cs="Times New Roman"/>
          <w:szCs w:val="24"/>
        </w:rPr>
        <w:pict>
          <v:line id="直接连接符 11" o:spid="_x0000_s1028" style="position:absolute;left:0;text-align:left;flip:y;z-index:251659264;mso-width-relative:page;mso-height-relative:page" from="-.75pt,7.55pt" to="422.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" strokeweight="3pt"/>
        </w:pict>
      </w:r>
    </w:p>
    <w:p w:rsidR="00FE7DF6" w:rsidRDefault="00162274">
      <w:pPr>
        <w:widowControl w:val="0"/>
        <w:spacing w:line="400" w:lineRule="exact"/>
        <w:ind w:firstLine="643"/>
        <w:contextualSpacing/>
        <w:jc w:val="center"/>
        <w:rPr>
          <w:rFonts w:ascii="仿宋_GB2312" w:eastAsia="仿宋_GB2312" w:hAnsi="宋体" w:cs="Times New Roman"/>
          <w:b/>
          <w:sz w:val="28"/>
          <w:szCs w:val="24"/>
        </w:rPr>
      </w:pPr>
      <w:r>
        <w:rPr>
          <w:rFonts w:ascii="黑体" w:eastAsia="黑体" w:cs="Times New Roman" w:hint="eastAsia"/>
          <w:b/>
          <w:color w:val="000000"/>
          <w:sz w:val="32"/>
          <w:szCs w:val="24"/>
        </w:rPr>
        <w:t>目 录</w:t>
      </w:r>
    </w:p>
    <w:p w:rsidR="00FE7DF6" w:rsidRDefault="00162274" w:rsidP="00D640F2">
      <w:pPr>
        <w:pStyle w:val="Style1"/>
        <w:numPr>
          <w:ilvl w:val="0"/>
          <w:numId w:val="9"/>
        </w:numPr>
        <w:tabs>
          <w:tab w:val="right" w:leader="dot" w:pos="7457"/>
        </w:tabs>
        <w:ind w:firstLineChars="0"/>
        <w:rPr>
          <w:rFonts w:ascii="楷体_GB2312" w:hAnsi="楷体_GB2312" w:cs="楷体_GB2312"/>
          <w:bCs/>
          <w:kern w:val="44"/>
          <w:szCs w:val="44"/>
        </w:rPr>
      </w:pPr>
      <w:r>
        <w:rPr>
          <w:rFonts w:ascii="仿宋_GB2312" w:eastAsia="仿宋_GB2312" w:hAnsi="宋体" w:hint="eastAsia"/>
          <w:b/>
          <w:sz w:val="28"/>
        </w:rPr>
        <w:t>税收法规</w:t>
      </w:r>
      <w:r>
        <w:rPr>
          <w:rFonts w:ascii="仿宋_GB2312" w:eastAsia="仿宋_GB2312" w:hAnsi="宋体"/>
          <w:b/>
          <w:sz w:val="28"/>
        </w:rPr>
        <w:fldChar w:fldCharType="begin"/>
      </w:r>
      <w:r>
        <w:rPr>
          <w:rFonts w:ascii="仿宋_GB2312" w:eastAsia="仿宋_GB2312" w:hAnsi="宋体" w:hint="eastAsia"/>
          <w:b/>
          <w:sz w:val="28"/>
        </w:rPr>
        <w:instrText>TOC \o "1-4" \h \z \u</w:instrText>
      </w:r>
      <w:r>
        <w:rPr>
          <w:rFonts w:ascii="仿宋_GB2312" w:eastAsia="仿宋_GB2312" w:hAnsi="宋体"/>
          <w:b/>
          <w:sz w:val="28"/>
        </w:rPr>
        <w:fldChar w:fldCharType="separate"/>
      </w:r>
    </w:p>
    <w:p w:rsidR="00FE7DF6" w:rsidRDefault="000112BC">
      <w:pPr>
        <w:pStyle w:val="30"/>
        <w:tabs>
          <w:tab w:val="right" w:leader="dot" w:pos="7564"/>
        </w:tabs>
        <w:spacing w:line="240" w:lineRule="auto"/>
        <w:ind w:leftChars="0" w:left="0" w:firstLineChars="0" w:firstLine="0"/>
        <w:rPr>
          <w:rFonts w:ascii="楷体_GB2312" w:hAnsi="楷体_GB2312" w:cs="楷体_GB2312"/>
        </w:rPr>
      </w:pPr>
      <w:hyperlink w:anchor="_Toc10125" w:history="1">
        <w:r w:rsidR="00162274">
          <w:rPr>
            <w:rFonts w:ascii="楷体_GB2312" w:hAnsi="楷体_GB2312" w:cs="楷体_GB2312" w:hint="eastAsia"/>
          </w:rPr>
          <w:t xml:space="preserve">一、 </w:t>
        </w:r>
        <w:r w:rsidR="00162274">
          <w:rPr>
            <w:rFonts w:ascii="楷体_GB2312" w:hAnsi="楷体_GB2312" w:cs="楷体_GB2312"/>
          </w:rPr>
          <w:t>财政部</w:t>
        </w:r>
        <w:r w:rsidR="002550D7">
          <w:rPr>
            <w:rFonts w:ascii="楷体_GB2312" w:hAnsi="楷体_GB2312" w:cs="楷体_GB2312" w:hint="eastAsia"/>
          </w:rPr>
          <w:t xml:space="preserve"> </w:t>
        </w:r>
        <w:r w:rsidR="00162274">
          <w:rPr>
            <w:rFonts w:ascii="楷体_GB2312" w:hAnsi="楷体_GB2312" w:cs="楷体_GB2312"/>
          </w:rPr>
          <w:t>税务总局关于外国驻华使(领)馆 及其馆员在华购买货物和服务增值税退税政策有关问题的补充通知</w:t>
        </w:r>
      </w:hyperlink>
      <w:r w:rsidR="002550D7">
        <w:rPr>
          <w:rFonts w:ascii="楷体_GB2312" w:hAnsi="楷体_GB2312" w:cs="楷体_GB2312" w:hint="eastAsia"/>
          <w:bCs/>
          <w:kern w:val="44"/>
          <w:szCs w:val="44"/>
        </w:rPr>
        <w:t xml:space="preserve"> </w:t>
      </w:r>
      <w:r w:rsidR="00162274">
        <w:rPr>
          <w:rFonts w:ascii="楷体_GB2312" w:hAnsi="楷体_GB2312" w:cs="楷体_GB2312" w:hint="eastAsia"/>
          <w:bCs/>
          <w:kern w:val="44"/>
          <w:szCs w:val="44"/>
        </w:rPr>
        <w:t>(</w:t>
      </w:r>
      <w:hyperlink w:anchor="_Toc20687" w:history="1">
        <w:r w:rsidR="00162274">
          <w:rPr>
            <w:rFonts w:ascii="楷体_GB2312" w:hAnsi="楷体_GB2312" w:cs="楷体_GB2312"/>
          </w:rPr>
          <w:t>财税〔2017〕74号</w:t>
        </w:r>
        <w:r w:rsidR="00162274">
          <w:rPr>
            <w:rFonts w:ascii="楷体_GB2312" w:hAnsi="楷体_GB2312" w:cs="楷体_GB2312" w:hint="eastAsia"/>
          </w:rPr>
          <w:t xml:space="preserve">  </w:t>
        </w:r>
        <w:r w:rsidR="00162274">
          <w:rPr>
            <w:rFonts w:ascii="楷体_GB2312" w:hAnsi="楷体_GB2312" w:cs="楷体_GB2312"/>
          </w:rPr>
          <w:t>2017</w:t>
        </w:r>
        <w:r w:rsidR="00162274">
          <w:rPr>
            <w:rFonts w:ascii="楷体_GB2312" w:hAnsi="楷体_GB2312" w:cs="楷体_GB2312" w:hint="eastAsia"/>
          </w:rPr>
          <w:t>-</w:t>
        </w:r>
        <w:r w:rsidR="00162274">
          <w:rPr>
            <w:rFonts w:ascii="楷体_GB2312" w:hAnsi="楷体_GB2312" w:cs="楷体_GB2312"/>
          </w:rPr>
          <w:t>9</w:t>
        </w:r>
        <w:r w:rsidR="00162274">
          <w:rPr>
            <w:rFonts w:ascii="楷体_GB2312" w:hAnsi="楷体_GB2312" w:cs="楷体_GB2312" w:hint="eastAsia"/>
          </w:rPr>
          <w:t>-</w:t>
        </w:r>
        <w:r w:rsidR="00162274">
          <w:rPr>
            <w:rFonts w:ascii="楷体_GB2312" w:hAnsi="楷体_GB2312" w:cs="楷体_GB2312"/>
          </w:rPr>
          <w:t>29</w:t>
        </w:r>
        <w:r w:rsidR="00162274">
          <w:rPr>
            <w:rFonts w:ascii="楷体_GB2312" w:hAnsi="楷体_GB2312" w:cs="楷体_GB2312" w:hint="eastAsia"/>
          </w:rPr>
          <w:t>)</w:t>
        </w:r>
        <w:r w:rsidR="00162274">
          <w:rPr>
            <w:rFonts w:ascii="楷体_GB2312" w:hAnsi="楷体_GB2312" w:cs="楷体_GB2312"/>
          </w:rPr>
          <w:tab/>
        </w:r>
        <w:r w:rsidR="00162274">
          <w:rPr>
            <w:rFonts w:ascii="楷体_GB2312" w:hAnsi="楷体_GB2312" w:cs="楷体_GB2312" w:hint="eastAsia"/>
          </w:rPr>
          <w:t>(</w:t>
        </w:r>
        <w:r w:rsidR="00162274">
          <w:rPr>
            <w:rFonts w:ascii="楷体_GB2312" w:hAnsi="楷体_GB2312" w:cs="楷体_GB2312"/>
          </w:rPr>
          <w:fldChar w:fldCharType="begin"/>
        </w:r>
        <w:r w:rsidR="00162274">
          <w:rPr>
            <w:rFonts w:ascii="楷体_GB2312" w:hAnsi="楷体_GB2312" w:cs="楷体_GB2312"/>
          </w:rPr>
          <w:instrText xml:space="preserve"> PAGEREF _Toc20687 </w:instrText>
        </w:r>
        <w:r w:rsidR="00162274">
          <w:rPr>
            <w:rFonts w:ascii="楷体_GB2312" w:hAnsi="楷体_GB2312" w:cs="楷体_GB2312"/>
          </w:rPr>
          <w:fldChar w:fldCharType="separate"/>
        </w:r>
        <w:r w:rsidR="00162274">
          <w:rPr>
            <w:rFonts w:ascii="楷体_GB2312" w:hAnsi="楷体_GB2312" w:cs="楷体_GB2312"/>
          </w:rPr>
          <w:t>1</w:t>
        </w:r>
        <w:r w:rsidR="00162274">
          <w:rPr>
            <w:rFonts w:ascii="楷体_GB2312" w:hAnsi="楷体_GB2312" w:cs="楷体_GB2312"/>
          </w:rPr>
          <w:fldChar w:fldCharType="end"/>
        </w:r>
      </w:hyperlink>
      <w:r w:rsidR="00162274">
        <w:rPr>
          <w:rFonts w:ascii="楷体_GB2312" w:hAnsi="楷体_GB2312" w:cs="楷体_GB2312" w:hint="eastAsia"/>
          <w:bCs/>
          <w:kern w:val="44"/>
          <w:szCs w:val="44"/>
        </w:rPr>
        <w:t>)</w:t>
      </w:r>
    </w:p>
    <w:p w:rsidR="00FE7DF6" w:rsidRDefault="000112BC">
      <w:pPr>
        <w:pStyle w:val="30"/>
        <w:tabs>
          <w:tab w:val="right" w:leader="dot" w:pos="7564"/>
        </w:tabs>
        <w:spacing w:line="240" w:lineRule="auto"/>
        <w:ind w:leftChars="0" w:left="0" w:firstLineChars="0" w:firstLine="0"/>
        <w:rPr>
          <w:rFonts w:ascii="楷体_GB2312" w:hAnsi="楷体_GB2312" w:cs="楷体_GB2312"/>
        </w:rPr>
      </w:pPr>
      <w:hyperlink w:anchor="_Toc27758" w:history="1">
        <w:r w:rsidR="00162274">
          <w:rPr>
            <w:rFonts w:ascii="楷体_GB2312" w:hAnsi="楷体_GB2312" w:cs="楷体_GB2312"/>
          </w:rPr>
          <w:t xml:space="preserve">二、 </w:t>
        </w:r>
        <w:r w:rsidR="00162274">
          <w:rPr>
            <w:rFonts w:ascii="楷体_GB2312" w:hAnsi="楷体_GB2312" w:cs="楷体_GB2312" w:hint="eastAsia"/>
          </w:rPr>
          <w:t>国家税务总局关于全民所有制企业公司制改制企业所得税处理问题的公告</w:t>
        </w:r>
      </w:hyperlink>
      <w:r w:rsidR="00162274">
        <w:rPr>
          <w:rFonts w:ascii="楷体_GB2312" w:hAnsi="楷体_GB2312" w:cs="楷体_GB2312" w:hint="eastAsia"/>
          <w:bCs/>
          <w:kern w:val="44"/>
          <w:szCs w:val="44"/>
        </w:rPr>
        <w:t>(</w:t>
      </w:r>
      <w:hyperlink w:anchor="_Toc9423" w:history="1">
        <w:r w:rsidR="00162274">
          <w:rPr>
            <w:rFonts w:ascii="楷体_GB2312" w:hAnsi="楷体_GB2312" w:cs="楷体_GB2312" w:hint="eastAsia"/>
          </w:rPr>
          <w:t>国家税务总局公告2017年第34号  2017-9-22)</w:t>
        </w:r>
        <w:r w:rsidR="00162274">
          <w:rPr>
            <w:rFonts w:ascii="楷体_GB2312" w:hAnsi="楷体_GB2312" w:cs="楷体_GB2312"/>
          </w:rPr>
          <w:tab/>
        </w:r>
        <w:r w:rsidR="00162274">
          <w:rPr>
            <w:rFonts w:ascii="楷体_GB2312" w:hAnsi="楷体_GB2312" w:cs="楷体_GB2312" w:hint="eastAsia"/>
          </w:rPr>
          <w:t>(</w:t>
        </w:r>
        <w:r w:rsidR="00162274">
          <w:rPr>
            <w:rFonts w:ascii="楷体_GB2312" w:hAnsi="楷体_GB2312" w:cs="楷体_GB2312"/>
          </w:rPr>
          <w:fldChar w:fldCharType="begin"/>
        </w:r>
        <w:r w:rsidR="00162274">
          <w:rPr>
            <w:rFonts w:ascii="楷体_GB2312" w:hAnsi="楷体_GB2312" w:cs="楷体_GB2312"/>
          </w:rPr>
          <w:instrText xml:space="preserve"> PAGEREF _Toc9423 </w:instrText>
        </w:r>
        <w:r w:rsidR="00162274">
          <w:rPr>
            <w:rFonts w:ascii="楷体_GB2312" w:hAnsi="楷体_GB2312" w:cs="楷体_GB2312"/>
          </w:rPr>
          <w:fldChar w:fldCharType="separate"/>
        </w:r>
        <w:r w:rsidR="00162274">
          <w:rPr>
            <w:rFonts w:ascii="楷体_GB2312" w:hAnsi="楷体_GB2312" w:cs="楷体_GB2312"/>
          </w:rPr>
          <w:t>1</w:t>
        </w:r>
        <w:r w:rsidR="00162274">
          <w:rPr>
            <w:rFonts w:ascii="楷体_GB2312" w:hAnsi="楷体_GB2312" w:cs="楷体_GB2312"/>
          </w:rPr>
          <w:fldChar w:fldCharType="end"/>
        </w:r>
      </w:hyperlink>
      <w:r w:rsidR="00162274">
        <w:rPr>
          <w:rFonts w:ascii="楷体_GB2312" w:hAnsi="楷体_GB2312" w:cs="楷体_GB2312" w:hint="eastAsia"/>
          <w:bCs/>
          <w:kern w:val="44"/>
          <w:szCs w:val="44"/>
        </w:rPr>
        <w:t>)</w:t>
      </w:r>
    </w:p>
    <w:p w:rsidR="00FE7DF6" w:rsidRDefault="000112BC">
      <w:pPr>
        <w:pStyle w:val="30"/>
        <w:tabs>
          <w:tab w:val="right" w:leader="dot" w:pos="7564"/>
        </w:tabs>
        <w:spacing w:line="240" w:lineRule="auto"/>
        <w:ind w:leftChars="0" w:left="0" w:firstLineChars="0" w:firstLine="0"/>
        <w:rPr>
          <w:rFonts w:ascii="楷体_GB2312" w:hAnsi="楷体_GB2312" w:cs="楷体_GB2312"/>
        </w:rPr>
      </w:pPr>
      <w:hyperlink w:anchor="_Toc9632" w:history="1">
        <w:r w:rsidR="00162274">
          <w:rPr>
            <w:rFonts w:ascii="楷体_GB2312" w:hAnsi="楷体_GB2312" w:cs="楷体_GB2312"/>
          </w:rPr>
          <w:t xml:space="preserve">三、 </w:t>
        </w:r>
        <w:r w:rsidR="00162274">
          <w:rPr>
            <w:rFonts w:ascii="楷体_GB2312" w:hAnsi="楷体_GB2312" w:cs="楷体_GB2312" w:hint="eastAsia"/>
          </w:rPr>
          <w:t>国家税务总局 科技部关于加强企业研发费用税前加计扣除政策贯彻落实工作的通知</w:t>
        </w:r>
      </w:hyperlink>
      <w:r w:rsidR="00162274">
        <w:rPr>
          <w:rFonts w:ascii="楷体_GB2312" w:hAnsi="楷体_GB2312" w:cs="楷体_GB2312" w:hint="eastAsia"/>
          <w:bCs/>
          <w:kern w:val="44"/>
          <w:szCs w:val="44"/>
        </w:rPr>
        <w:t>(</w:t>
      </w:r>
      <w:hyperlink w:anchor="_Toc581" w:history="1">
        <w:r w:rsidR="00162274">
          <w:rPr>
            <w:rFonts w:ascii="楷体_GB2312" w:hAnsi="楷体_GB2312" w:cs="楷体_GB2312" w:hint="eastAsia"/>
          </w:rPr>
          <w:t>税总发〔2017〕106号  2017-9-18)</w:t>
        </w:r>
        <w:r w:rsidR="00162274">
          <w:rPr>
            <w:rFonts w:ascii="楷体_GB2312" w:hAnsi="楷体_GB2312" w:cs="楷体_GB2312"/>
          </w:rPr>
          <w:tab/>
        </w:r>
        <w:r w:rsidR="00162274">
          <w:rPr>
            <w:rFonts w:ascii="楷体_GB2312" w:hAnsi="楷体_GB2312" w:cs="楷体_GB2312" w:hint="eastAsia"/>
          </w:rPr>
          <w:t>(</w:t>
        </w:r>
        <w:r w:rsidR="00162274">
          <w:rPr>
            <w:rFonts w:ascii="楷体_GB2312" w:hAnsi="楷体_GB2312" w:cs="楷体_GB2312"/>
          </w:rPr>
          <w:fldChar w:fldCharType="begin"/>
        </w:r>
        <w:r w:rsidR="00162274">
          <w:rPr>
            <w:rFonts w:ascii="楷体_GB2312" w:hAnsi="楷体_GB2312" w:cs="楷体_GB2312"/>
          </w:rPr>
          <w:instrText xml:space="preserve"> PAGEREF _Toc581 </w:instrText>
        </w:r>
        <w:r w:rsidR="00162274">
          <w:rPr>
            <w:rFonts w:ascii="楷体_GB2312" w:hAnsi="楷体_GB2312" w:cs="楷体_GB2312"/>
          </w:rPr>
          <w:fldChar w:fldCharType="separate"/>
        </w:r>
        <w:r w:rsidR="00162274">
          <w:rPr>
            <w:rFonts w:ascii="楷体_GB2312" w:hAnsi="楷体_GB2312" w:cs="楷体_GB2312"/>
          </w:rPr>
          <w:t>2</w:t>
        </w:r>
        <w:r w:rsidR="00162274">
          <w:rPr>
            <w:rFonts w:ascii="楷体_GB2312" w:hAnsi="楷体_GB2312" w:cs="楷体_GB2312"/>
          </w:rPr>
          <w:fldChar w:fldCharType="end"/>
        </w:r>
      </w:hyperlink>
      <w:r w:rsidR="00162274">
        <w:rPr>
          <w:rFonts w:ascii="楷体_GB2312" w:hAnsi="楷体_GB2312" w:cs="楷体_GB2312" w:hint="eastAsia"/>
          <w:bCs/>
          <w:kern w:val="44"/>
          <w:szCs w:val="44"/>
        </w:rPr>
        <w:t>)</w:t>
      </w:r>
    </w:p>
    <w:p w:rsidR="00FE7DF6" w:rsidRDefault="000112BC">
      <w:pPr>
        <w:pStyle w:val="30"/>
        <w:tabs>
          <w:tab w:val="right" w:leader="dot" w:pos="7564"/>
        </w:tabs>
        <w:spacing w:line="240" w:lineRule="auto"/>
        <w:ind w:leftChars="0" w:left="0" w:firstLineChars="0" w:firstLine="0"/>
        <w:rPr>
          <w:rFonts w:ascii="楷体_GB2312" w:hAnsi="楷体_GB2312" w:cs="楷体_GB2312"/>
        </w:rPr>
      </w:pPr>
      <w:hyperlink w:anchor="_Toc30779" w:history="1">
        <w:r w:rsidR="00162274">
          <w:rPr>
            <w:rFonts w:ascii="楷体_GB2312" w:hAnsi="楷体_GB2312" w:cs="楷体_GB2312"/>
          </w:rPr>
          <w:t>四、 财政部　税务总局　国家发展改革委</w:t>
        </w:r>
        <w:r w:rsidR="00162274">
          <w:rPr>
            <w:rFonts w:ascii="楷体_GB2312" w:hAnsi="楷体_GB2312" w:cs="楷体_GB2312" w:hint="eastAsia"/>
          </w:rPr>
          <w:t xml:space="preserve"> </w:t>
        </w:r>
        <w:r w:rsidR="00162274">
          <w:rPr>
            <w:rFonts w:ascii="楷体_GB2312" w:hAnsi="楷体_GB2312" w:cs="楷体_GB2312"/>
          </w:rPr>
          <w:t>工业和信息化部 环境保护部关于印发节能节水和环境保护专用设备企业所得税优惠目录（2017年版）的通知</w:t>
        </w:r>
      </w:hyperlink>
      <w:r w:rsidR="00162274">
        <w:rPr>
          <w:rFonts w:ascii="楷体_GB2312" w:hAnsi="楷体_GB2312" w:cs="楷体_GB2312" w:hint="eastAsia"/>
          <w:bCs/>
          <w:kern w:val="44"/>
          <w:szCs w:val="44"/>
        </w:rPr>
        <w:t>(</w:t>
      </w:r>
      <w:hyperlink w:anchor="_Toc14104" w:history="1">
        <w:r w:rsidR="00162274">
          <w:rPr>
            <w:rFonts w:ascii="楷体_GB2312" w:hAnsi="楷体_GB2312" w:cs="楷体_GB2312"/>
          </w:rPr>
          <w:t>财税〔2017〕71号</w:t>
        </w:r>
        <w:r w:rsidR="00162274">
          <w:rPr>
            <w:rFonts w:ascii="楷体_GB2312" w:hAnsi="楷体_GB2312" w:cs="楷体_GB2312" w:hint="eastAsia"/>
          </w:rPr>
          <w:t xml:space="preserve">     </w:t>
        </w:r>
        <w:r w:rsidR="00162274">
          <w:rPr>
            <w:rFonts w:ascii="楷体_GB2312" w:hAnsi="楷体_GB2312" w:cs="楷体_GB2312"/>
          </w:rPr>
          <w:t>2017</w:t>
        </w:r>
        <w:r w:rsidR="00162274">
          <w:rPr>
            <w:rFonts w:ascii="楷体_GB2312" w:hAnsi="楷体_GB2312" w:cs="楷体_GB2312" w:hint="eastAsia"/>
          </w:rPr>
          <w:t>-</w:t>
        </w:r>
        <w:r w:rsidR="00162274">
          <w:rPr>
            <w:rFonts w:ascii="楷体_GB2312" w:hAnsi="楷体_GB2312" w:cs="楷体_GB2312"/>
          </w:rPr>
          <w:t>9</w:t>
        </w:r>
        <w:r w:rsidR="00162274">
          <w:rPr>
            <w:rFonts w:ascii="楷体_GB2312" w:hAnsi="楷体_GB2312" w:cs="楷体_GB2312" w:hint="eastAsia"/>
          </w:rPr>
          <w:t>-</w:t>
        </w:r>
        <w:r w:rsidR="00162274">
          <w:rPr>
            <w:rFonts w:ascii="楷体_GB2312" w:hAnsi="楷体_GB2312" w:cs="楷体_GB2312"/>
          </w:rPr>
          <w:t>6</w:t>
        </w:r>
        <w:r w:rsidR="00162274">
          <w:rPr>
            <w:rFonts w:ascii="楷体_GB2312" w:hAnsi="楷体_GB2312" w:cs="楷体_GB2312" w:hint="eastAsia"/>
          </w:rPr>
          <w:t>)</w:t>
        </w:r>
        <w:r w:rsidR="00162274">
          <w:rPr>
            <w:rFonts w:ascii="楷体_GB2312" w:hAnsi="楷体_GB2312" w:cs="楷体_GB2312"/>
          </w:rPr>
          <w:tab/>
        </w:r>
        <w:r w:rsidR="00162274">
          <w:rPr>
            <w:rFonts w:ascii="楷体_GB2312" w:hAnsi="楷体_GB2312" w:cs="楷体_GB2312" w:hint="eastAsia"/>
          </w:rPr>
          <w:t>(</w:t>
        </w:r>
        <w:r w:rsidR="00162274">
          <w:rPr>
            <w:rFonts w:ascii="楷体_GB2312" w:hAnsi="楷体_GB2312" w:cs="楷体_GB2312"/>
          </w:rPr>
          <w:fldChar w:fldCharType="begin"/>
        </w:r>
        <w:r w:rsidR="00162274">
          <w:rPr>
            <w:rFonts w:ascii="楷体_GB2312" w:hAnsi="楷体_GB2312" w:cs="楷体_GB2312"/>
          </w:rPr>
          <w:instrText xml:space="preserve"> PAGEREF _Toc14104 </w:instrText>
        </w:r>
        <w:r w:rsidR="00162274">
          <w:rPr>
            <w:rFonts w:ascii="楷体_GB2312" w:hAnsi="楷体_GB2312" w:cs="楷体_GB2312"/>
          </w:rPr>
          <w:fldChar w:fldCharType="separate"/>
        </w:r>
        <w:r w:rsidR="00162274">
          <w:rPr>
            <w:rFonts w:ascii="楷体_GB2312" w:hAnsi="楷体_GB2312" w:cs="楷体_GB2312"/>
          </w:rPr>
          <w:t>4</w:t>
        </w:r>
        <w:r w:rsidR="00162274">
          <w:rPr>
            <w:rFonts w:ascii="楷体_GB2312" w:hAnsi="楷体_GB2312" w:cs="楷体_GB2312"/>
          </w:rPr>
          <w:fldChar w:fldCharType="end"/>
        </w:r>
      </w:hyperlink>
      <w:r w:rsidR="00162274">
        <w:rPr>
          <w:rFonts w:ascii="楷体_GB2312" w:hAnsi="楷体_GB2312" w:cs="楷体_GB2312" w:hint="eastAsia"/>
          <w:bCs/>
          <w:kern w:val="44"/>
          <w:szCs w:val="44"/>
        </w:rPr>
        <w:t>)</w:t>
      </w:r>
    </w:p>
    <w:p w:rsidR="00FE7DF6" w:rsidRDefault="000112BC">
      <w:pPr>
        <w:pStyle w:val="30"/>
        <w:tabs>
          <w:tab w:val="right" w:leader="dot" w:pos="7564"/>
        </w:tabs>
        <w:spacing w:line="240" w:lineRule="auto"/>
        <w:ind w:leftChars="0" w:left="0" w:firstLineChars="0" w:firstLine="0"/>
        <w:rPr>
          <w:rFonts w:ascii="楷体_GB2312" w:hAnsi="楷体_GB2312" w:cs="楷体_GB2312"/>
        </w:rPr>
      </w:pPr>
      <w:hyperlink w:anchor="_Toc2810" w:history="1">
        <w:r w:rsidR="00162274">
          <w:rPr>
            <w:rFonts w:ascii="楷体_GB2312" w:hAnsi="楷体_GB2312" w:cs="楷体_GB2312"/>
          </w:rPr>
          <w:t xml:space="preserve">五、 </w:t>
        </w:r>
        <w:r w:rsidR="00162274">
          <w:rPr>
            <w:rFonts w:ascii="楷体_GB2312" w:hAnsi="楷体_GB2312" w:cs="楷体_GB2312" w:hint="eastAsia"/>
          </w:rPr>
          <w:t>国家税务总局 关于修订税务行政处罚（简易）执法文书的公告</w:t>
        </w:r>
      </w:hyperlink>
      <w:r w:rsidR="00162274">
        <w:rPr>
          <w:rFonts w:ascii="楷体_GB2312" w:hAnsi="楷体_GB2312" w:cs="楷体_GB2312" w:hint="eastAsia"/>
          <w:bCs/>
          <w:kern w:val="44"/>
          <w:szCs w:val="44"/>
        </w:rPr>
        <w:t>(</w:t>
      </w:r>
      <w:hyperlink w:anchor="_Toc17879" w:history="1">
        <w:r w:rsidR="00162274">
          <w:rPr>
            <w:rFonts w:ascii="楷体_GB2312" w:hAnsi="楷体_GB2312" w:cs="楷体_GB2312" w:hint="eastAsia"/>
          </w:rPr>
          <w:t>国家税务总局公告2017年第33号 2017-9-15)</w:t>
        </w:r>
        <w:r w:rsidR="00162274">
          <w:rPr>
            <w:rFonts w:ascii="楷体_GB2312" w:hAnsi="楷体_GB2312" w:cs="楷体_GB2312"/>
          </w:rPr>
          <w:tab/>
        </w:r>
        <w:r w:rsidR="00162274">
          <w:rPr>
            <w:rFonts w:ascii="楷体_GB2312" w:hAnsi="楷体_GB2312" w:cs="楷体_GB2312" w:hint="eastAsia"/>
          </w:rPr>
          <w:t>(</w:t>
        </w:r>
        <w:r w:rsidR="00162274">
          <w:rPr>
            <w:rFonts w:ascii="楷体_GB2312" w:hAnsi="楷体_GB2312" w:cs="楷体_GB2312"/>
          </w:rPr>
          <w:fldChar w:fldCharType="begin"/>
        </w:r>
        <w:r w:rsidR="00162274">
          <w:rPr>
            <w:rFonts w:ascii="楷体_GB2312" w:hAnsi="楷体_GB2312" w:cs="楷体_GB2312"/>
          </w:rPr>
          <w:instrText xml:space="preserve"> PAGEREF _Toc17879 </w:instrText>
        </w:r>
        <w:r w:rsidR="00162274">
          <w:rPr>
            <w:rFonts w:ascii="楷体_GB2312" w:hAnsi="楷体_GB2312" w:cs="楷体_GB2312"/>
          </w:rPr>
          <w:fldChar w:fldCharType="separate"/>
        </w:r>
        <w:r w:rsidR="00162274">
          <w:rPr>
            <w:rFonts w:ascii="楷体_GB2312" w:hAnsi="楷体_GB2312" w:cs="楷体_GB2312"/>
          </w:rPr>
          <w:t>5</w:t>
        </w:r>
        <w:r w:rsidR="00162274">
          <w:rPr>
            <w:rFonts w:ascii="楷体_GB2312" w:hAnsi="楷体_GB2312" w:cs="楷体_GB2312"/>
          </w:rPr>
          <w:fldChar w:fldCharType="end"/>
        </w:r>
      </w:hyperlink>
      <w:r w:rsidR="00162274">
        <w:rPr>
          <w:rFonts w:ascii="楷体_GB2312" w:hAnsi="楷体_GB2312" w:cs="楷体_GB2312" w:hint="eastAsia"/>
          <w:bCs/>
          <w:kern w:val="44"/>
          <w:szCs w:val="44"/>
        </w:rPr>
        <w:t>)</w:t>
      </w:r>
    </w:p>
    <w:p w:rsidR="00FE7DF6" w:rsidRDefault="000112BC">
      <w:pPr>
        <w:pStyle w:val="30"/>
        <w:tabs>
          <w:tab w:val="right" w:leader="dot" w:pos="7564"/>
        </w:tabs>
        <w:spacing w:line="240" w:lineRule="auto"/>
        <w:ind w:leftChars="0" w:left="0" w:firstLineChars="0" w:firstLine="0"/>
        <w:rPr>
          <w:rFonts w:ascii="楷体_GB2312" w:hAnsi="楷体_GB2312" w:cs="楷体_GB2312"/>
        </w:rPr>
      </w:pPr>
      <w:hyperlink w:anchor="_Toc31203" w:history="1">
        <w:r w:rsidR="00162274">
          <w:rPr>
            <w:rFonts w:ascii="楷体_GB2312" w:hAnsi="楷体_GB2312" w:cs="楷体_GB2312"/>
          </w:rPr>
          <w:t xml:space="preserve">六、 </w:t>
        </w:r>
        <w:r w:rsidR="00162274">
          <w:rPr>
            <w:rFonts w:ascii="楷体_GB2312" w:hAnsi="楷体_GB2312" w:cs="楷体_GB2312" w:hint="eastAsia"/>
          </w:rPr>
          <w:t>国家税务总局 关于创新跨区域涉税事项报验管理制度的通知</w:t>
        </w:r>
      </w:hyperlink>
      <w:r w:rsidR="00162274">
        <w:rPr>
          <w:rFonts w:ascii="楷体_GB2312" w:hAnsi="楷体_GB2312" w:cs="楷体_GB2312" w:hint="eastAsia"/>
          <w:bCs/>
          <w:kern w:val="44"/>
          <w:szCs w:val="44"/>
        </w:rPr>
        <w:t>(</w:t>
      </w:r>
      <w:hyperlink w:anchor="_Toc22343" w:history="1">
        <w:r w:rsidR="00162274">
          <w:rPr>
            <w:rFonts w:ascii="楷体_GB2312" w:hAnsi="楷体_GB2312" w:cs="楷体_GB2312" w:hint="eastAsia"/>
          </w:rPr>
          <w:t>税总发〔2017〕103号  2017-9-15)</w:t>
        </w:r>
        <w:r w:rsidR="00162274">
          <w:rPr>
            <w:rFonts w:ascii="楷体_GB2312" w:hAnsi="楷体_GB2312" w:cs="楷体_GB2312"/>
          </w:rPr>
          <w:tab/>
        </w:r>
        <w:r w:rsidR="00162274">
          <w:rPr>
            <w:rFonts w:ascii="楷体_GB2312" w:hAnsi="楷体_GB2312" w:cs="楷体_GB2312" w:hint="eastAsia"/>
          </w:rPr>
          <w:t>(</w:t>
        </w:r>
        <w:r w:rsidR="00162274">
          <w:rPr>
            <w:rFonts w:ascii="楷体_GB2312" w:hAnsi="楷体_GB2312" w:cs="楷体_GB2312"/>
          </w:rPr>
          <w:fldChar w:fldCharType="begin"/>
        </w:r>
        <w:r w:rsidR="00162274">
          <w:rPr>
            <w:rFonts w:ascii="楷体_GB2312" w:hAnsi="楷体_GB2312" w:cs="楷体_GB2312"/>
          </w:rPr>
          <w:instrText xml:space="preserve"> PAGEREF _Toc22343 </w:instrText>
        </w:r>
        <w:r w:rsidR="00162274">
          <w:rPr>
            <w:rFonts w:ascii="楷体_GB2312" w:hAnsi="楷体_GB2312" w:cs="楷体_GB2312"/>
          </w:rPr>
          <w:fldChar w:fldCharType="separate"/>
        </w:r>
        <w:r w:rsidR="00162274">
          <w:rPr>
            <w:rFonts w:ascii="楷体_GB2312" w:hAnsi="楷体_GB2312" w:cs="楷体_GB2312"/>
          </w:rPr>
          <w:t>6</w:t>
        </w:r>
        <w:r w:rsidR="00162274">
          <w:rPr>
            <w:rFonts w:ascii="楷体_GB2312" w:hAnsi="楷体_GB2312" w:cs="楷体_GB2312"/>
          </w:rPr>
          <w:fldChar w:fldCharType="end"/>
        </w:r>
      </w:hyperlink>
      <w:r w:rsidR="00162274">
        <w:rPr>
          <w:rFonts w:ascii="楷体_GB2312" w:hAnsi="楷体_GB2312" w:cs="楷体_GB2312" w:hint="eastAsia"/>
          <w:bCs/>
          <w:kern w:val="44"/>
          <w:szCs w:val="44"/>
        </w:rPr>
        <w:t>)</w:t>
      </w:r>
    </w:p>
    <w:p w:rsidR="00FE7DF6" w:rsidRDefault="000112BC">
      <w:pPr>
        <w:pStyle w:val="30"/>
        <w:tabs>
          <w:tab w:val="right" w:leader="dot" w:pos="7564"/>
        </w:tabs>
        <w:spacing w:line="240" w:lineRule="auto"/>
        <w:ind w:leftChars="0" w:left="0" w:firstLineChars="0" w:firstLine="0"/>
        <w:rPr>
          <w:rFonts w:ascii="楷体_GB2312" w:hAnsi="楷体_GB2312" w:cs="楷体_GB2312"/>
          <w:bCs/>
          <w:kern w:val="44"/>
          <w:szCs w:val="44"/>
        </w:rPr>
      </w:pPr>
      <w:hyperlink w:anchor="_Toc7222" w:history="1">
        <w:r w:rsidR="00162274">
          <w:rPr>
            <w:rFonts w:ascii="楷体_GB2312" w:hAnsi="楷体_GB2312" w:cs="楷体_GB2312" w:hint="eastAsia"/>
          </w:rPr>
          <w:t>七、 国家税务总局关于进一步推进  “多证合一”工商共享信息运用工作的通知</w:t>
        </w:r>
      </w:hyperlink>
      <w:r w:rsidR="00162274">
        <w:rPr>
          <w:rFonts w:ascii="楷体_GB2312" w:hAnsi="楷体_GB2312" w:cs="楷体_GB2312" w:hint="eastAsia"/>
          <w:bCs/>
          <w:kern w:val="44"/>
          <w:szCs w:val="44"/>
        </w:rPr>
        <w:t>(</w:t>
      </w:r>
      <w:hyperlink w:anchor="_Toc6404" w:history="1">
        <w:r w:rsidR="00162274">
          <w:rPr>
            <w:rFonts w:ascii="楷体_GB2312" w:hAnsi="楷体_GB2312" w:cs="楷体_GB2312" w:hint="eastAsia"/>
          </w:rPr>
          <w:t>税总函〔2017〕402号  2017-9-15)</w:t>
        </w:r>
        <w:r w:rsidR="00162274">
          <w:rPr>
            <w:rFonts w:ascii="楷体_GB2312" w:hAnsi="楷体_GB2312" w:cs="楷体_GB2312"/>
          </w:rPr>
          <w:tab/>
        </w:r>
        <w:r w:rsidR="00162274">
          <w:rPr>
            <w:rFonts w:ascii="楷体_GB2312" w:hAnsi="楷体_GB2312" w:cs="楷体_GB2312" w:hint="eastAsia"/>
          </w:rPr>
          <w:t>(</w:t>
        </w:r>
        <w:r w:rsidR="00162274">
          <w:rPr>
            <w:rFonts w:ascii="楷体_GB2312" w:hAnsi="楷体_GB2312" w:cs="楷体_GB2312"/>
          </w:rPr>
          <w:fldChar w:fldCharType="begin"/>
        </w:r>
        <w:r w:rsidR="00162274">
          <w:rPr>
            <w:rFonts w:ascii="楷体_GB2312" w:hAnsi="楷体_GB2312" w:cs="楷体_GB2312"/>
          </w:rPr>
          <w:instrText xml:space="preserve"> PAGEREF _Toc6404 </w:instrText>
        </w:r>
        <w:r w:rsidR="00162274">
          <w:rPr>
            <w:rFonts w:ascii="楷体_GB2312" w:hAnsi="楷体_GB2312" w:cs="楷体_GB2312"/>
          </w:rPr>
          <w:fldChar w:fldCharType="separate"/>
        </w:r>
        <w:r w:rsidR="00162274">
          <w:rPr>
            <w:rFonts w:ascii="楷体_GB2312" w:hAnsi="楷体_GB2312" w:cs="楷体_GB2312"/>
          </w:rPr>
          <w:t>8</w:t>
        </w:r>
        <w:r w:rsidR="00162274">
          <w:rPr>
            <w:rFonts w:ascii="楷体_GB2312" w:hAnsi="楷体_GB2312" w:cs="楷体_GB2312"/>
          </w:rPr>
          <w:fldChar w:fldCharType="end"/>
        </w:r>
      </w:hyperlink>
      <w:r w:rsidR="00162274">
        <w:rPr>
          <w:rFonts w:ascii="楷体_GB2312" w:hAnsi="楷体_GB2312" w:cs="楷体_GB2312" w:hint="eastAsia"/>
          <w:bCs/>
          <w:kern w:val="44"/>
          <w:szCs w:val="44"/>
        </w:rPr>
        <w:t>)</w:t>
      </w:r>
    </w:p>
    <w:p w:rsidR="00FE7DF6" w:rsidRDefault="00162274" w:rsidP="00BD4CDA">
      <w:pPr>
        <w:numPr>
          <w:ilvl w:val="0"/>
          <w:numId w:val="4"/>
        </w:numPr>
        <w:ind w:firstLine="562"/>
        <w:rPr>
          <w:rFonts w:ascii="仿宋_GB2312" w:eastAsia="仿宋_GB2312" w:hAnsi="宋体" w:cs="Times New Roman"/>
          <w:b/>
          <w:sz w:val="28"/>
        </w:rPr>
      </w:pPr>
      <w:r>
        <w:rPr>
          <w:rFonts w:ascii="仿宋_GB2312" w:eastAsia="仿宋_GB2312" w:hAnsi="宋体" w:cs="Times New Roman" w:hint="eastAsia"/>
          <w:b/>
          <w:sz w:val="28"/>
        </w:rPr>
        <w:t>相关法规</w:t>
      </w:r>
    </w:p>
    <w:p w:rsidR="00FE7DF6" w:rsidRDefault="000112BC">
      <w:pPr>
        <w:pStyle w:val="30"/>
        <w:tabs>
          <w:tab w:val="right" w:leader="dot" w:pos="7564"/>
        </w:tabs>
        <w:spacing w:line="240" w:lineRule="auto"/>
        <w:ind w:leftChars="0" w:left="0" w:firstLineChars="0" w:firstLine="0"/>
        <w:rPr>
          <w:rFonts w:ascii="楷体_GB2312" w:hAnsi="楷体_GB2312" w:cs="楷体_GB2312"/>
          <w:bCs/>
          <w:kern w:val="44"/>
          <w:szCs w:val="44"/>
        </w:rPr>
      </w:pPr>
      <w:hyperlink w:anchor="_Toc22261" w:history="1">
        <w:r w:rsidR="00162274">
          <w:rPr>
            <w:rFonts w:ascii="楷体_GB2312" w:hAnsi="楷体_GB2312" w:cs="楷体_GB2312" w:hint="eastAsia"/>
          </w:rPr>
          <w:t xml:space="preserve">八、 </w:t>
        </w:r>
        <w:r w:rsidR="00162274">
          <w:rPr>
            <w:rFonts w:ascii="楷体_GB2312" w:hAnsi="楷体_GB2312" w:cs="楷体_GB2312"/>
          </w:rPr>
          <w:t xml:space="preserve">财政部  人力资源社会保障部  国家卫生计生委 </w:t>
        </w:r>
        <w:r w:rsidR="00162274">
          <w:rPr>
            <w:rFonts w:ascii="楷体_GB2312" w:hAnsi="楷体_GB2312" w:cs="楷体_GB2312"/>
            <w:bCs/>
          </w:rPr>
          <w:t>关于印发《社会保险基金财务制度》的通知</w:t>
        </w:r>
      </w:hyperlink>
      <w:r w:rsidR="00162274">
        <w:rPr>
          <w:rFonts w:ascii="楷体_GB2312" w:hAnsi="楷体_GB2312" w:cs="楷体_GB2312" w:hint="eastAsia"/>
          <w:bCs/>
          <w:kern w:val="44"/>
          <w:szCs w:val="44"/>
        </w:rPr>
        <w:t>(</w:t>
      </w:r>
      <w:hyperlink w:anchor="_Toc31359" w:history="1">
        <w:r w:rsidR="00162274">
          <w:rPr>
            <w:rFonts w:ascii="楷体_GB2312" w:hAnsi="楷体_GB2312" w:cs="楷体_GB2312"/>
          </w:rPr>
          <w:t>财社〔2017〕144号　2017</w:t>
        </w:r>
        <w:r w:rsidR="00162274">
          <w:rPr>
            <w:rFonts w:ascii="楷体_GB2312" w:hAnsi="楷体_GB2312" w:cs="楷体_GB2312" w:hint="eastAsia"/>
          </w:rPr>
          <w:t>-</w:t>
        </w:r>
        <w:r w:rsidR="00162274">
          <w:rPr>
            <w:rFonts w:ascii="楷体_GB2312" w:hAnsi="楷体_GB2312" w:cs="楷体_GB2312"/>
          </w:rPr>
          <w:t>8</w:t>
        </w:r>
        <w:r w:rsidR="00162274">
          <w:rPr>
            <w:rFonts w:ascii="楷体_GB2312" w:hAnsi="楷体_GB2312" w:cs="楷体_GB2312" w:hint="eastAsia"/>
          </w:rPr>
          <w:t>-</w:t>
        </w:r>
        <w:r w:rsidR="00162274">
          <w:rPr>
            <w:rFonts w:ascii="楷体_GB2312" w:hAnsi="楷体_GB2312" w:cs="楷体_GB2312"/>
          </w:rPr>
          <w:t>22</w:t>
        </w:r>
        <w:r w:rsidR="00162274">
          <w:rPr>
            <w:rFonts w:ascii="楷体_GB2312" w:hAnsi="楷体_GB2312" w:cs="楷体_GB2312" w:hint="eastAsia"/>
          </w:rPr>
          <w:t>)</w:t>
        </w:r>
        <w:r w:rsidR="00162274">
          <w:rPr>
            <w:rFonts w:ascii="楷体_GB2312" w:hAnsi="楷体_GB2312" w:cs="楷体_GB2312"/>
          </w:rPr>
          <w:tab/>
        </w:r>
        <w:r w:rsidR="00162274">
          <w:rPr>
            <w:rFonts w:ascii="楷体_GB2312" w:hAnsi="楷体_GB2312" w:cs="楷体_GB2312" w:hint="eastAsia"/>
          </w:rPr>
          <w:t>(</w:t>
        </w:r>
        <w:r w:rsidR="00162274">
          <w:rPr>
            <w:rFonts w:ascii="楷体_GB2312" w:hAnsi="楷体_GB2312" w:cs="楷体_GB2312"/>
          </w:rPr>
          <w:fldChar w:fldCharType="begin"/>
        </w:r>
        <w:r w:rsidR="00162274">
          <w:rPr>
            <w:rFonts w:ascii="楷体_GB2312" w:hAnsi="楷体_GB2312" w:cs="楷体_GB2312"/>
          </w:rPr>
          <w:instrText xml:space="preserve"> PAGEREF _Toc31359 </w:instrText>
        </w:r>
        <w:r w:rsidR="00162274">
          <w:rPr>
            <w:rFonts w:ascii="楷体_GB2312" w:hAnsi="楷体_GB2312" w:cs="楷体_GB2312"/>
          </w:rPr>
          <w:fldChar w:fldCharType="separate"/>
        </w:r>
        <w:r w:rsidR="00162274">
          <w:rPr>
            <w:rFonts w:ascii="楷体_GB2312" w:hAnsi="楷体_GB2312" w:cs="楷体_GB2312"/>
          </w:rPr>
          <w:t>10</w:t>
        </w:r>
        <w:r w:rsidR="00162274">
          <w:rPr>
            <w:rFonts w:ascii="楷体_GB2312" w:hAnsi="楷体_GB2312" w:cs="楷体_GB2312"/>
          </w:rPr>
          <w:fldChar w:fldCharType="end"/>
        </w:r>
      </w:hyperlink>
      <w:r w:rsidR="00162274">
        <w:rPr>
          <w:rFonts w:ascii="楷体_GB2312" w:hAnsi="楷体_GB2312" w:cs="楷体_GB2312" w:hint="eastAsia"/>
          <w:bCs/>
          <w:kern w:val="44"/>
          <w:szCs w:val="44"/>
        </w:rPr>
        <w:t>)</w:t>
      </w:r>
    </w:p>
    <w:p w:rsidR="00FE7DF6" w:rsidRDefault="00162274" w:rsidP="00BD4CDA">
      <w:pPr>
        <w:numPr>
          <w:ilvl w:val="0"/>
          <w:numId w:val="5"/>
        </w:numPr>
        <w:ind w:firstLine="562"/>
        <w:rPr>
          <w:rFonts w:ascii="仿宋_GB2312" w:eastAsia="仿宋_GB2312" w:hAnsi="宋体" w:cs="Times New Roman"/>
          <w:b/>
          <w:sz w:val="28"/>
        </w:rPr>
      </w:pPr>
      <w:r>
        <w:rPr>
          <w:rFonts w:ascii="仿宋_GB2312" w:eastAsia="仿宋_GB2312" w:hAnsi="宋体" w:cs="Times New Roman" w:hint="eastAsia"/>
          <w:b/>
          <w:sz w:val="28"/>
        </w:rPr>
        <w:t>政策解读</w:t>
      </w:r>
    </w:p>
    <w:p w:rsidR="00FE7DF6" w:rsidRDefault="000112BC">
      <w:pPr>
        <w:pStyle w:val="30"/>
        <w:tabs>
          <w:tab w:val="right" w:leader="dot" w:pos="7564"/>
        </w:tabs>
        <w:spacing w:line="240" w:lineRule="auto"/>
        <w:ind w:leftChars="0" w:left="0" w:firstLineChars="0" w:firstLine="0"/>
        <w:rPr>
          <w:rFonts w:ascii="楷体_GB2312" w:hAnsi="楷体_GB2312" w:cs="楷体_GB2312"/>
        </w:rPr>
      </w:pPr>
      <w:hyperlink w:anchor="_Toc18557" w:history="1">
        <w:r w:rsidR="00162274">
          <w:rPr>
            <w:rFonts w:ascii="楷体_GB2312" w:hAnsi="楷体_GB2312" w:cs="楷体_GB2312"/>
          </w:rPr>
          <w:t xml:space="preserve">九、 </w:t>
        </w:r>
        <w:r w:rsidR="00162274">
          <w:rPr>
            <w:rFonts w:ascii="楷体_GB2312" w:hAnsi="楷体_GB2312" w:cs="楷体_GB2312" w:hint="eastAsia"/>
          </w:rPr>
          <w:t>关于《国家税务总局关于全民所有制企业公司制改制 企业所得税处理问题的公告》的解读</w:t>
        </w:r>
      </w:hyperlink>
      <w:r w:rsidR="00162274">
        <w:rPr>
          <w:rFonts w:ascii="楷体_GB2312" w:hAnsi="楷体_GB2312" w:cs="楷体_GB2312" w:hint="eastAsia"/>
          <w:bCs/>
          <w:kern w:val="44"/>
          <w:szCs w:val="44"/>
        </w:rPr>
        <w:t>(</w:t>
      </w:r>
      <w:hyperlink w:anchor="_Toc675" w:history="1">
        <w:r w:rsidR="00162274">
          <w:rPr>
            <w:rFonts w:ascii="楷体_GB2312" w:hAnsi="楷体_GB2312" w:cs="楷体_GB2312" w:hint="eastAsia"/>
          </w:rPr>
          <w:t>来源：国家税务总局办公厅  2017-09-28)</w:t>
        </w:r>
        <w:r w:rsidR="00162274">
          <w:rPr>
            <w:rFonts w:ascii="楷体_GB2312" w:hAnsi="楷体_GB2312" w:cs="楷体_GB2312"/>
          </w:rPr>
          <w:tab/>
        </w:r>
        <w:r w:rsidR="00162274">
          <w:rPr>
            <w:rFonts w:ascii="楷体_GB2312" w:hAnsi="楷体_GB2312" w:cs="楷体_GB2312" w:hint="eastAsia"/>
          </w:rPr>
          <w:t>(</w:t>
        </w:r>
        <w:r w:rsidR="00162274">
          <w:rPr>
            <w:rFonts w:ascii="楷体_GB2312" w:hAnsi="楷体_GB2312" w:cs="楷体_GB2312"/>
          </w:rPr>
          <w:fldChar w:fldCharType="begin"/>
        </w:r>
        <w:r w:rsidR="00162274">
          <w:rPr>
            <w:rFonts w:ascii="楷体_GB2312" w:hAnsi="楷体_GB2312" w:cs="楷体_GB2312"/>
          </w:rPr>
          <w:instrText xml:space="preserve"> PAGEREF _Toc675 </w:instrText>
        </w:r>
        <w:r w:rsidR="00162274">
          <w:rPr>
            <w:rFonts w:ascii="楷体_GB2312" w:hAnsi="楷体_GB2312" w:cs="楷体_GB2312"/>
          </w:rPr>
          <w:fldChar w:fldCharType="separate"/>
        </w:r>
        <w:r w:rsidR="00162274">
          <w:rPr>
            <w:rFonts w:ascii="楷体_GB2312" w:hAnsi="楷体_GB2312" w:cs="楷体_GB2312"/>
          </w:rPr>
          <w:t>11</w:t>
        </w:r>
        <w:r w:rsidR="00162274">
          <w:rPr>
            <w:rFonts w:ascii="楷体_GB2312" w:hAnsi="楷体_GB2312" w:cs="楷体_GB2312"/>
          </w:rPr>
          <w:fldChar w:fldCharType="end"/>
        </w:r>
      </w:hyperlink>
      <w:r w:rsidR="00162274">
        <w:rPr>
          <w:rFonts w:ascii="楷体_GB2312" w:hAnsi="楷体_GB2312" w:cs="楷体_GB2312" w:hint="eastAsia"/>
          <w:bCs/>
          <w:kern w:val="44"/>
          <w:szCs w:val="44"/>
        </w:rPr>
        <w:t>)</w:t>
      </w:r>
    </w:p>
    <w:p w:rsidR="00FE7DF6" w:rsidRDefault="000112BC">
      <w:pPr>
        <w:pStyle w:val="30"/>
        <w:tabs>
          <w:tab w:val="right" w:leader="dot" w:pos="7564"/>
        </w:tabs>
        <w:spacing w:line="240" w:lineRule="auto"/>
        <w:ind w:leftChars="0" w:left="0" w:firstLineChars="0" w:firstLine="0"/>
        <w:rPr>
          <w:rFonts w:ascii="楷体_GB2312" w:hAnsi="楷体_GB2312" w:cs="楷体_GB2312"/>
        </w:rPr>
      </w:pPr>
      <w:hyperlink w:anchor="_Toc15874" w:history="1">
        <w:r w:rsidR="00162274">
          <w:rPr>
            <w:rFonts w:ascii="楷体_GB2312" w:hAnsi="楷体_GB2312" w:cs="楷体_GB2312"/>
          </w:rPr>
          <w:t xml:space="preserve">十、 </w:t>
        </w:r>
        <w:r w:rsidR="00162274">
          <w:rPr>
            <w:rFonts w:ascii="楷体_GB2312" w:hAnsi="楷体_GB2312" w:cs="楷体_GB2312" w:hint="eastAsia"/>
          </w:rPr>
          <w:t>关于《国家税务总局 关于修订税务行政处罚（简易）执法文书的公告》的解读</w:t>
        </w:r>
      </w:hyperlink>
      <w:r w:rsidR="00162274">
        <w:rPr>
          <w:rFonts w:ascii="楷体_GB2312" w:hAnsi="楷体_GB2312" w:cs="楷体_GB2312" w:hint="eastAsia"/>
          <w:bCs/>
          <w:kern w:val="44"/>
          <w:szCs w:val="44"/>
        </w:rPr>
        <w:t>(</w:t>
      </w:r>
      <w:hyperlink w:anchor="_Toc3041" w:history="1">
        <w:r w:rsidR="00162274">
          <w:rPr>
            <w:rFonts w:ascii="楷体_GB2312" w:hAnsi="楷体_GB2312" w:cs="楷体_GB2312" w:hint="eastAsia"/>
          </w:rPr>
          <w:t>来源：国家税务总局办公厅  2017-09-28)</w:t>
        </w:r>
        <w:r w:rsidR="00162274">
          <w:rPr>
            <w:rFonts w:ascii="楷体_GB2312" w:hAnsi="楷体_GB2312" w:cs="楷体_GB2312"/>
          </w:rPr>
          <w:tab/>
        </w:r>
        <w:r w:rsidR="00162274">
          <w:rPr>
            <w:rFonts w:ascii="楷体_GB2312" w:hAnsi="楷体_GB2312" w:cs="楷体_GB2312" w:hint="eastAsia"/>
          </w:rPr>
          <w:t>(</w:t>
        </w:r>
        <w:r w:rsidR="00162274">
          <w:rPr>
            <w:rFonts w:ascii="楷体_GB2312" w:hAnsi="楷体_GB2312" w:cs="楷体_GB2312"/>
          </w:rPr>
          <w:fldChar w:fldCharType="begin"/>
        </w:r>
        <w:r w:rsidR="00162274">
          <w:rPr>
            <w:rFonts w:ascii="楷体_GB2312" w:hAnsi="楷体_GB2312" w:cs="楷体_GB2312"/>
          </w:rPr>
          <w:instrText xml:space="preserve"> PAGEREF _Toc3041 </w:instrText>
        </w:r>
        <w:r w:rsidR="00162274">
          <w:rPr>
            <w:rFonts w:ascii="楷体_GB2312" w:hAnsi="楷体_GB2312" w:cs="楷体_GB2312"/>
          </w:rPr>
          <w:fldChar w:fldCharType="separate"/>
        </w:r>
        <w:r w:rsidR="00162274">
          <w:rPr>
            <w:rFonts w:ascii="楷体_GB2312" w:hAnsi="楷体_GB2312" w:cs="楷体_GB2312"/>
          </w:rPr>
          <w:t>12</w:t>
        </w:r>
        <w:r w:rsidR="00162274">
          <w:rPr>
            <w:rFonts w:ascii="楷体_GB2312" w:hAnsi="楷体_GB2312" w:cs="楷体_GB2312"/>
          </w:rPr>
          <w:fldChar w:fldCharType="end"/>
        </w:r>
      </w:hyperlink>
      <w:r w:rsidR="00162274">
        <w:rPr>
          <w:rFonts w:ascii="楷体_GB2312" w:hAnsi="楷体_GB2312" w:cs="楷体_GB2312" w:hint="eastAsia"/>
          <w:bCs/>
          <w:kern w:val="44"/>
          <w:szCs w:val="44"/>
        </w:rPr>
        <w:t>)</w:t>
      </w:r>
    </w:p>
    <w:p w:rsidR="00FE7DF6" w:rsidRDefault="000112BC">
      <w:pPr>
        <w:pStyle w:val="30"/>
        <w:tabs>
          <w:tab w:val="right" w:leader="dot" w:pos="7564"/>
        </w:tabs>
        <w:spacing w:line="240" w:lineRule="auto"/>
        <w:ind w:leftChars="0" w:left="0" w:firstLineChars="0" w:firstLine="0"/>
        <w:rPr>
          <w:rFonts w:ascii="楷体_GB2312" w:hAnsi="楷体_GB2312" w:cs="楷体_GB2312"/>
        </w:rPr>
      </w:pPr>
      <w:hyperlink w:anchor="_Toc10746" w:history="1">
        <w:r w:rsidR="00162274">
          <w:rPr>
            <w:rFonts w:ascii="楷体_GB2312" w:hAnsi="楷体_GB2312" w:cs="楷体_GB2312" w:hint="eastAsia"/>
          </w:rPr>
          <w:t>十一、 关于《国家税务总局关于调整完善外贸综合 服务企业办理出口货物退（免）税有关事项的公告》的解读</w:t>
        </w:r>
      </w:hyperlink>
      <w:r w:rsidR="00162274">
        <w:rPr>
          <w:rFonts w:ascii="楷体_GB2312" w:hAnsi="楷体_GB2312" w:cs="楷体_GB2312" w:hint="eastAsia"/>
          <w:bCs/>
          <w:kern w:val="44"/>
          <w:szCs w:val="44"/>
        </w:rPr>
        <w:t>(</w:t>
      </w:r>
      <w:hyperlink w:anchor="_Toc24961" w:history="1">
        <w:r w:rsidR="00162274">
          <w:rPr>
            <w:rFonts w:ascii="楷体_GB2312" w:hAnsi="楷体_GB2312" w:cs="楷体_GB2312" w:hint="eastAsia"/>
          </w:rPr>
          <w:t>来源：国家税务总局办公厅  2017-09-30)</w:t>
        </w:r>
        <w:r w:rsidR="00162274">
          <w:rPr>
            <w:rFonts w:ascii="楷体_GB2312" w:hAnsi="楷体_GB2312" w:cs="楷体_GB2312"/>
          </w:rPr>
          <w:tab/>
        </w:r>
        <w:r w:rsidR="00162274">
          <w:rPr>
            <w:rFonts w:ascii="楷体_GB2312" w:hAnsi="楷体_GB2312" w:cs="楷体_GB2312" w:hint="eastAsia"/>
          </w:rPr>
          <w:t>(</w:t>
        </w:r>
        <w:r w:rsidR="00162274">
          <w:rPr>
            <w:rFonts w:ascii="楷体_GB2312" w:hAnsi="楷体_GB2312" w:cs="楷体_GB2312"/>
          </w:rPr>
          <w:fldChar w:fldCharType="begin"/>
        </w:r>
        <w:r w:rsidR="00162274">
          <w:rPr>
            <w:rFonts w:ascii="楷体_GB2312" w:hAnsi="楷体_GB2312" w:cs="楷体_GB2312"/>
          </w:rPr>
          <w:instrText xml:space="preserve"> PAGEREF _Toc24961 </w:instrText>
        </w:r>
        <w:r w:rsidR="00162274">
          <w:rPr>
            <w:rFonts w:ascii="楷体_GB2312" w:hAnsi="楷体_GB2312" w:cs="楷体_GB2312"/>
          </w:rPr>
          <w:fldChar w:fldCharType="separate"/>
        </w:r>
        <w:r w:rsidR="00162274">
          <w:rPr>
            <w:rFonts w:ascii="楷体_GB2312" w:hAnsi="楷体_GB2312" w:cs="楷体_GB2312"/>
          </w:rPr>
          <w:t>13</w:t>
        </w:r>
        <w:r w:rsidR="00162274">
          <w:rPr>
            <w:rFonts w:ascii="楷体_GB2312" w:hAnsi="楷体_GB2312" w:cs="楷体_GB2312"/>
          </w:rPr>
          <w:fldChar w:fldCharType="end"/>
        </w:r>
      </w:hyperlink>
      <w:r w:rsidR="00162274">
        <w:rPr>
          <w:rFonts w:ascii="楷体_GB2312" w:hAnsi="楷体_GB2312" w:cs="楷体_GB2312" w:hint="eastAsia"/>
          <w:bCs/>
          <w:kern w:val="44"/>
          <w:szCs w:val="44"/>
        </w:rPr>
        <w:t>)</w:t>
      </w:r>
    </w:p>
    <w:p w:rsidR="00FE7DF6" w:rsidRDefault="00162274">
      <w:pPr>
        <w:pStyle w:val="10"/>
        <w:widowControl w:val="0"/>
        <w:tabs>
          <w:tab w:val="right" w:leader="dot" w:pos="7457"/>
        </w:tabs>
        <w:ind w:firstLineChars="0" w:firstLine="0"/>
        <w:contextualSpacing/>
        <w:rPr>
          <w:rFonts w:ascii="华文行楷" w:eastAsia="华文行楷"/>
          <w:b/>
          <w:sz w:val="32"/>
          <w:szCs w:val="32"/>
        </w:rPr>
      </w:pPr>
      <w:r>
        <w:rPr>
          <w:rFonts w:ascii="楷体_GB2312" w:hAnsi="楷体_GB2312" w:cs="楷体_GB2312"/>
          <w:bCs/>
          <w:kern w:val="44"/>
          <w:szCs w:val="44"/>
        </w:rPr>
        <w:fldChar w:fldCharType="end"/>
      </w:r>
    </w:p>
    <w:p w:rsidR="00FE7DF6" w:rsidRDefault="00FE7DF6" w:rsidP="002550D7">
      <w:pPr>
        <w:widowControl w:val="0"/>
        <w:spacing w:line="380" w:lineRule="exact"/>
        <w:ind w:firstLineChars="749" w:firstLine="2399"/>
        <w:contextualSpacing/>
        <w:rPr>
          <w:rFonts w:ascii="华文行楷" w:eastAsia="华文行楷" w:cs="Times New Roman" w:hint="eastAsia"/>
          <w:b/>
          <w:sz w:val="32"/>
          <w:szCs w:val="32"/>
        </w:rPr>
      </w:pPr>
    </w:p>
    <w:p w:rsidR="000C5361" w:rsidRDefault="000C5361" w:rsidP="002550D7">
      <w:pPr>
        <w:widowControl w:val="0"/>
        <w:spacing w:line="380" w:lineRule="exact"/>
        <w:ind w:firstLineChars="749" w:firstLine="2399"/>
        <w:contextualSpacing/>
        <w:rPr>
          <w:rFonts w:ascii="华文行楷" w:eastAsia="华文行楷" w:cs="Times New Roman" w:hint="eastAsia"/>
          <w:b/>
          <w:sz w:val="32"/>
          <w:szCs w:val="32"/>
        </w:rPr>
      </w:pPr>
    </w:p>
    <w:p w:rsidR="000C5361" w:rsidRDefault="000C5361" w:rsidP="002550D7">
      <w:pPr>
        <w:widowControl w:val="0"/>
        <w:spacing w:line="380" w:lineRule="exact"/>
        <w:ind w:firstLineChars="749" w:firstLine="2399"/>
        <w:contextualSpacing/>
        <w:rPr>
          <w:rFonts w:ascii="华文行楷" w:eastAsia="华文行楷" w:cs="Times New Roman"/>
          <w:b/>
          <w:sz w:val="32"/>
          <w:szCs w:val="32"/>
        </w:rPr>
      </w:pPr>
      <w:bookmarkStart w:id="3" w:name="_GoBack"/>
      <w:bookmarkEnd w:id="3"/>
    </w:p>
    <w:p w:rsidR="00FE7DF6" w:rsidRDefault="00162274" w:rsidP="002550D7">
      <w:pPr>
        <w:widowControl w:val="0"/>
        <w:spacing w:line="380" w:lineRule="exact"/>
        <w:ind w:firstLineChars="749" w:firstLine="2399"/>
        <w:contextualSpacing/>
        <w:rPr>
          <w:rFonts w:ascii="华文行楷" w:eastAsia="华文行楷" w:cs="Times New Roman"/>
          <w:b/>
          <w:sz w:val="32"/>
          <w:szCs w:val="32"/>
        </w:rPr>
      </w:pPr>
      <w:r>
        <w:rPr>
          <w:rFonts w:ascii="华文行楷" w:eastAsia="华文行楷" w:cs="Times New Roman" w:hint="eastAsia"/>
          <w:b/>
          <w:sz w:val="32"/>
          <w:szCs w:val="32"/>
        </w:rPr>
        <w:t>本期财税政策提示</w:t>
      </w:r>
    </w:p>
    <w:p w:rsidR="00FE7DF6" w:rsidRDefault="00FE7DF6">
      <w:pPr>
        <w:widowControl w:val="0"/>
        <w:spacing w:line="400" w:lineRule="exact"/>
        <w:ind w:firstLineChars="0" w:firstLine="0"/>
        <w:contextualSpacing/>
        <w:jc w:val="left"/>
      </w:pPr>
    </w:p>
    <w:p w:rsidR="00FE7DF6" w:rsidRDefault="00162274">
      <w:pPr>
        <w:pStyle w:val="11"/>
        <w:numPr>
          <w:ilvl w:val="0"/>
          <w:numId w:val="6"/>
        </w:numPr>
        <w:shd w:val="clear" w:color="auto" w:fill="FFFFFF"/>
        <w:spacing w:line="400" w:lineRule="exact"/>
        <w:ind w:leftChars="-56" w:left="1" w:hangingChars="56" w:hanging="135"/>
        <w:contextualSpacing/>
        <w:rPr>
          <w:rFonts w:ascii="仿宋_GB2312" w:eastAsia="仿宋_GB2312" w:hAnsi="宋体"/>
          <w:b/>
          <w:bCs/>
          <w:color w:val="000000"/>
          <w:kern w:val="0"/>
          <w:szCs w:val="24"/>
        </w:rPr>
      </w:pPr>
      <w:r>
        <w:rPr>
          <w:rFonts w:ascii="仿宋_GB2312" w:eastAsia="仿宋_GB2312" w:hAnsi="宋体" w:hint="eastAsia"/>
          <w:b/>
          <w:color w:val="000000"/>
          <w:kern w:val="0"/>
          <w:szCs w:val="24"/>
        </w:rPr>
        <w:t>总局明确评估增值企业所得税处理问题</w:t>
      </w:r>
    </w:p>
    <w:p w:rsidR="00FE7DF6" w:rsidRDefault="00162274">
      <w:pPr>
        <w:pStyle w:val="11"/>
        <w:widowControl w:val="0"/>
        <w:shd w:val="clear" w:color="auto" w:fill="FFFFFF"/>
        <w:spacing w:line="400" w:lineRule="exact"/>
        <w:ind w:left="1" w:firstLine="480"/>
        <w:contextualSpacing/>
        <w:jc w:val="left"/>
      </w:pPr>
      <w:r>
        <w:rPr>
          <w:rFonts w:hint="eastAsia"/>
        </w:rPr>
        <w:t>日前，国家税务总局下发《关于全民所有制企业公司制改制企业所得税处理问题的公告》（国家税务总局公告</w:t>
      </w:r>
      <w:r>
        <w:rPr>
          <w:rFonts w:hint="eastAsia"/>
        </w:rPr>
        <w:t>2017</w:t>
      </w:r>
      <w:r>
        <w:rPr>
          <w:rFonts w:hint="eastAsia"/>
        </w:rPr>
        <w:t>年第</w:t>
      </w:r>
      <w:r>
        <w:rPr>
          <w:rFonts w:hint="eastAsia"/>
        </w:rPr>
        <w:t>34</w:t>
      </w:r>
      <w:r>
        <w:rPr>
          <w:rFonts w:hint="eastAsia"/>
        </w:rPr>
        <w:t>号），公告明确全民所有制企业改制为国有独资公司或者国有全资子公司，改制中资产评估增值不计入应纳税所得额；资产的计税基础按其原有计税基础确定；资产增值部分的折旧或者摊销不得在税前扣除。</w:t>
      </w:r>
    </w:p>
    <w:p w:rsidR="00FE7DF6" w:rsidRDefault="00162274">
      <w:pPr>
        <w:pStyle w:val="11"/>
        <w:widowControl w:val="0"/>
        <w:shd w:val="clear" w:color="auto" w:fill="FFFFFF"/>
        <w:spacing w:line="400" w:lineRule="exact"/>
        <w:ind w:left="1" w:firstLine="480"/>
        <w:contextualSpacing/>
        <w:jc w:val="left"/>
      </w:pPr>
      <w:r>
        <w:rPr>
          <w:rFonts w:hint="eastAsia"/>
        </w:rPr>
        <w:t>公告适用于</w:t>
      </w:r>
      <w:r>
        <w:rPr>
          <w:rFonts w:hint="eastAsia"/>
        </w:rPr>
        <w:t>2017</w:t>
      </w:r>
      <w:r>
        <w:rPr>
          <w:rFonts w:hint="eastAsia"/>
        </w:rPr>
        <w:t>年度及以后年度企业所得税汇算清缴。</w:t>
      </w:r>
    </w:p>
    <w:p w:rsidR="00FE7DF6" w:rsidRDefault="00FE7DF6">
      <w:pPr>
        <w:pStyle w:val="11"/>
        <w:widowControl w:val="0"/>
        <w:shd w:val="clear" w:color="auto" w:fill="FFFFFF"/>
        <w:spacing w:line="400" w:lineRule="exact"/>
        <w:ind w:firstLineChars="0" w:firstLine="0"/>
        <w:contextualSpacing/>
        <w:jc w:val="left"/>
        <w:sectPr w:rsidR="00FE7DF6">
          <w:headerReference w:type="even" r:id="rId11"/>
          <w:headerReference w:type="default" r:id="rId12"/>
          <w:footerReference w:type="even" r:id="rId13"/>
          <w:footerReference w:type="default" r:id="rId14"/>
          <w:headerReference w:type="first" r:id="rId15"/>
          <w:footerReference w:type="first" r:id="rId16"/>
          <w:pgSz w:w="11164" w:h="15485"/>
          <w:pgMar w:top="1440" w:right="1800" w:bottom="1440" w:left="1800" w:header="851" w:footer="992" w:gutter="0"/>
          <w:pgNumType w:start="1"/>
          <w:cols w:space="425"/>
          <w:docGrid w:type="lines" w:linePitch="326"/>
        </w:sectPr>
      </w:pPr>
    </w:p>
    <w:p w:rsidR="00FE7DF6" w:rsidRDefault="00162274">
      <w:pPr>
        <w:widowControl w:val="0"/>
        <w:spacing w:line="380" w:lineRule="exact"/>
        <w:ind w:firstLineChars="0" w:firstLine="0"/>
        <w:contextualSpacing/>
        <w:rPr>
          <w:rFonts w:ascii="华文行楷" w:eastAsia="华文行楷" w:hAnsi="宋体" w:cs="宋体"/>
          <w:b/>
          <w:kern w:val="0"/>
          <w:sz w:val="32"/>
          <w:szCs w:val="32"/>
          <w:bdr w:val="single" w:sz="4" w:space="0" w:color="auto"/>
        </w:rPr>
      </w:pPr>
      <w:r>
        <w:rPr>
          <w:rFonts w:ascii="华文行楷" w:eastAsia="华文行楷" w:hAnsi="宋体" w:cs="宋体" w:hint="eastAsia"/>
          <w:b/>
          <w:kern w:val="0"/>
          <w:sz w:val="32"/>
          <w:szCs w:val="32"/>
          <w:bdr w:val="single" w:sz="4" w:space="0" w:color="auto"/>
        </w:rPr>
        <w:lastRenderedPageBreak/>
        <w:t>税收法规</w:t>
      </w:r>
    </w:p>
    <w:p w:rsidR="00FE7DF6" w:rsidRDefault="00FE7DF6">
      <w:pPr>
        <w:spacing w:line="380" w:lineRule="exact"/>
        <w:ind w:firstLine="480"/>
        <w:contextualSpacing/>
      </w:pPr>
    </w:p>
    <w:p w:rsidR="00FE7DF6" w:rsidRDefault="00162274">
      <w:pPr>
        <w:pStyle w:val="3"/>
      </w:pPr>
      <w:bookmarkStart w:id="4" w:name="_Toc10125"/>
      <w:r>
        <w:t>财政部</w:t>
      </w:r>
      <w:r>
        <w:t>   </w:t>
      </w:r>
      <w:r>
        <w:t>税务总局关于外国驻华使</w:t>
      </w:r>
      <w:r>
        <w:t>(</w:t>
      </w:r>
      <w:r>
        <w:t>领</w:t>
      </w:r>
      <w:r>
        <w:t>)</w:t>
      </w:r>
      <w:r>
        <w:t>馆</w:t>
      </w:r>
      <w:r>
        <w:br/>
      </w:r>
      <w:r>
        <w:t>及其馆员在华购买货物和服务增值税退税政策</w:t>
      </w:r>
      <w:r>
        <w:br/>
      </w:r>
      <w:r>
        <w:t>有关问题的补充通知</w:t>
      </w:r>
      <w:bookmarkEnd w:id="4"/>
    </w:p>
    <w:p w:rsidR="00FE7DF6" w:rsidRDefault="00162274">
      <w:pPr>
        <w:pStyle w:val="4"/>
        <w:rPr>
          <w:rFonts w:eastAsia="黑体"/>
          <w:b/>
          <w:sz w:val="28"/>
        </w:rPr>
      </w:pPr>
      <w:bookmarkStart w:id="5" w:name="_Toc20687"/>
      <w:r>
        <w:t>财税〔2017〕74号</w:t>
      </w:r>
      <w:r>
        <w:rPr>
          <w:rFonts w:hint="eastAsia"/>
        </w:rPr>
        <w:t xml:space="preserve">  </w:t>
      </w:r>
      <w:r>
        <w:t>2017</w:t>
      </w:r>
      <w:r>
        <w:rPr>
          <w:rFonts w:hint="eastAsia"/>
        </w:rPr>
        <w:t>-</w:t>
      </w:r>
      <w:r>
        <w:t>9</w:t>
      </w:r>
      <w:r>
        <w:rPr>
          <w:rFonts w:hint="eastAsia"/>
        </w:rPr>
        <w:t>-</w:t>
      </w:r>
      <w:r>
        <w:t>29</w:t>
      </w:r>
      <w:bookmarkEnd w:id="5"/>
    </w:p>
    <w:p w:rsidR="00FE7DF6" w:rsidRDefault="00162274">
      <w:pPr>
        <w:tabs>
          <w:tab w:val="left" w:pos="720"/>
        </w:tabs>
        <w:spacing w:line="380" w:lineRule="exact"/>
        <w:ind w:firstLine="480"/>
        <w:contextualSpacing/>
      </w:pPr>
      <w:r>
        <w:t>各省、自治区、直辖市、计划单列市财政厅（局）、国家税务局，新疆生产建设兵团财务局：</w:t>
      </w:r>
    </w:p>
    <w:p w:rsidR="00FE7DF6" w:rsidRDefault="00162274">
      <w:pPr>
        <w:tabs>
          <w:tab w:val="left" w:pos="720"/>
        </w:tabs>
        <w:spacing w:line="380" w:lineRule="exact"/>
        <w:ind w:firstLine="480"/>
        <w:contextualSpacing/>
      </w:pPr>
      <w:r>
        <w:t>经研究，现就《财政部</w:t>
      </w:r>
      <w:r>
        <w:t xml:space="preserve"> </w:t>
      </w:r>
      <w:r>
        <w:t>国家税务总局关于外国驻华使（领）馆及其馆员在华购买货物和服务增值税退税政策的通知》（财税〔</w:t>
      </w:r>
      <w:r>
        <w:t>2016</w:t>
      </w:r>
      <w:r>
        <w:t>〕</w:t>
      </w:r>
      <w:r>
        <w:t>51</w:t>
      </w:r>
      <w:r>
        <w:t>号）有关问题补充通知如下：</w:t>
      </w:r>
    </w:p>
    <w:p w:rsidR="00FE7DF6" w:rsidRDefault="00162274">
      <w:pPr>
        <w:tabs>
          <w:tab w:val="left" w:pos="720"/>
        </w:tabs>
        <w:spacing w:line="380" w:lineRule="exact"/>
        <w:ind w:firstLine="480"/>
        <w:contextualSpacing/>
      </w:pPr>
      <w:r>
        <w:t>一、使（领）馆馆员个人购买货物和服务，</w:t>
      </w:r>
      <w:proofErr w:type="gramStart"/>
      <w:r>
        <w:t>除车辆</w:t>
      </w:r>
      <w:proofErr w:type="gramEnd"/>
      <w:r>
        <w:t>和房租外，每人每年申报退税销售金额（含税价格）不超过</w:t>
      </w:r>
      <w:r>
        <w:t>18</w:t>
      </w:r>
      <w:r>
        <w:t>万元人民币。</w:t>
      </w:r>
    </w:p>
    <w:p w:rsidR="00FE7DF6" w:rsidRDefault="00162274">
      <w:pPr>
        <w:tabs>
          <w:tab w:val="left" w:pos="720"/>
        </w:tabs>
        <w:spacing w:line="380" w:lineRule="exact"/>
        <w:ind w:firstLine="480"/>
        <w:contextualSpacing/>
      </w:pPr>
      <w:r>
        <w:t>二、使（领）馆及其馆员购买货物和服务，增值税退税额为发票上注明的税额，发票上未注明税额的，为按照不含税销售额和增值税征收率计算的税额。购买电力、燃气、汽油、柴油，发票上未注明税额的，增值税退税额为按照不含税销售额和相关产品增值税适用税率计算的税额。</w:t>
      </w:r>
    </w:p>
    <w:p w:rsidR="00FE7DF6" w:rsidRDefault="00162274">
      <w:pPr>
        <w:tabs>
          <w:tab w:val="left" w:pos="720"/>
        </w:tabs>
        <w:spacing w:line="380" w:lineRule="exact"/>
        <w:ind w:firstLine="480"/>
        <w:contextualSpacing/>
      </w:pPr>
      <w:r>
        <w:t>三、本通知自</w:t>
      </w:r>
      <w:r>
        <w:t>2017</w:t>
      </w:r>
      <w:r>
        <w:t>年</w:t>
      </w:r>
      <w:r>
        <w:t>10</w:t>
      </w:r>
      <w:r>
        <w:t>月</w:t>
      </w:r>
      <w:r>
        <w:t>1</w:t>
      </w:r>
      <w:r>
        <w:t>日起执行。具体以退税申报受理的时间为准。《财政部</w:t>
      </w:r>
      <w:r>
        <w:t xml:space="preserve"> </w:t>
      </w:r>
      <w:r>
        <w:t>国家税务总局关于外国驻华使（领）馆及其馆员在华购买货物和服务增值税退税政策的通知》（财税〔</w:t>
      </w:r>
      <w:r>
        <w:t>2016</w:t>
      </w:r>
      <w:r>
        <w:t>〕</w:t>
      </w:r>
      <w:r>
        <w:t>51</w:t>
      </w:r>
      <w:r>
        <w:t>号）第三条第</w:t>
      </w:r>
      <w:r>
        <w:t>2</w:t>
      </w:r>
      <w:r>
        <w:t>点和第四条同时停止执行。</w:t>
      </w:r>
    </w:p>
    <w:p w:rsidR="00FE7DF6" w:rsidRDefault="00FE7DF6">
      <w:pPr>
        <w:tabs>
          <w:tab w:val="left" w:pos="720"/>
        </w:tabs>
        <w:spacing w:line="380" w:lineRule="exact"/>
        <w:ind w:firstLineChars="0" w:firstLine="0"/>
        <w:contextualSpacing/>
        <w:rPr>
          <w:rFonts w:eastAsia="黑体"/>
          <w:b/>
          <w:sz w:val="28"/>
        </w:rPr>
      </w:pPr>
    </w:p>
    <w:p w:rsidR="00FE7DF6" w:rsidRDefault="00162274">
      <w:pPr>
        <w:pStyle w:val="3"/>
      </w:pPr>
      <w:bookmarkStart w:id="6" w:name="_Toc27758"/>
      <w:r>
        <w:rPr>
          <w:rFonts w:hint="eastAsia"/>
        </w:rPr>
        <w:t>国家税务总局关于全民所有制企业公司制改制</w:t>
      </w:r>
      <w:r>
        <w:rPr>
          <w:rFonts w:hint="eastAsia"/>
        </w:rPr>
        <w:br/>
      </w:r>
      <w:r>
        <w:rPr>
          <w:rFonts w:hint="eastAsia"/>
        </w:rPr>
        <w:t>企业所得税处理问题的公告</w:t>
      </w:r>
      <w:bookmarkEnd w:id="6"/>
    </w:p>
    <w:p w:rsidR="00FE7DF6" w:rsidRDefault="00162274">
      <w:pPr>
        <w:pStyle w:val="4"/>
      </w:pPr>
      <w:bookmarkStart w:id="7" w:name="_Toc9423"/>
      <w:r>
        <w:rPr>
          <w:rFonts w:hint="eastAsia"/>
        </w:rPr>
        <w:t>国家税务总局公告2017年第34号  2017-9-22</w:t>
      </w:r>
      <w:bookmarkEnd w:id="7"/>
    </w:p>
    <w:p w:rsidR="00FE7DF6" w:rsidRDefault="00162274">
      <w:pPr>
        <w:spacing w:line="380" w:lineRule="exact"/>
        <w:ind w:firstLineChars="0"/>
        <w:contextualSpacing/>
      </w:pPr>
      <w:r>
        <w:rPr>
          <w:rFonts w:hint="eastAsia"/>
        </w:rPr>
        <w:t>为贯彻落实《中共中央</w:t>
      </w:r>
      <w:r>
        <w:rPr>
          <w:rFonts w:hint="eastAsia"/>
        </w:rPr>
        <w:t xml:space="preserve"> </w:t>
      </w:r>
      <w:r>
        <w:rPr>
          <w:rFonts w:hint="eastAsia"/>
        </w:rPr>
        <w:t>国务院关于深化国有企业改革的指导意见》和《国务院办公厅关于印发中央企业公司制改制工作实施方案的通知》（国办发〔</w:t>
      </w:r>
      <w:r>
        <w:rPr>
          <w:rFonts w:hint="eastAsia"/>
        </w:rPr>
        <w:t>2017</w:t>
      </w:r>
      <w:r>
        <w:rPr>
          <w:rFonts w:hint="eastAsia"/>
        </w:rPr>
        <w:t>〕</w:t>
      </w:r>
      <w:r>
        <w:rPr>
          <w:rFonts w:hint="eastAsia"/>
        </w:rPr>
        <w:t>69</w:t>
      </w:r>
      <w:r>
        <w:rPr>
          <w:rFonts w:hint="eastAsia"/>
        </w:rPr>
        <w:t>号），根据《财政部</w:t>
      </w:r>
      <w:r>
        <w:rPr>
          <w:rFonts w:hint="eastAsia"/>
        </w:rPr>
        <w:t xml:space="preserve"> </w:t>
      </w:r>
      <w:r>
        <w:rPr>
          <w:rFonts w:hint="eastAsia"/>
        </w:rPr>
        <w:t>国家税务总局关于企业重组业务企业所得税处理若干问题的通知》（财税〔</w:t>
      </w:r>
      <w:r>
        <w:rPr>
          <w:rFonts w:hint="eastAsia"/>
        </w:rPr>
        <w:t>2009</w:t>
      </w:r>
      <w:r>
        <w:rPr>
          <w:rFonts w:hint="eastAsia"/>
        </w:rPr>
        <w:t>〕</w:t>
      </w:r>
      <w:r>
        <w:rPr>
          <w:rFonts w:hint="eastAsia"/>
        </w:rPr>
        <w:t>59</w:t>
      </w:r>
      <w:r>
        <w:rPr>
          <w:rFonts w:hint="eastAsia"/>
        </w:rPr>
        <w:t>号）有关规定，现就全</w:t>
      </w:r>
      <w:r>
        <w:rPr>
          <w:rFonts w:hint="eastAsia"/>
        </w:rPr>
        <w:lastRenderedPageBreak/>
        <w:t>民所有制企业公司制改制企业所得税处理问题公告如下：</w:t>
      </w:r>
      <w:r>
        <w:rPr>
          <w:rFonts w:hint="eastAsia"/>
        </w:rPr>
        <w:br/>
      </w:r>
      <w:r>
        <w:rPr>
          <w:rFonts w:hint="eastAsia"/>
        </w:rPr>
        <w:t xml:space="preserve">　　一、全民所有制企业改制为国有独资公司或者国有全资子公司，属于财税〔</w:t>
      </w:r>
      <w:r>
        <w:rPr>
          <w:rFonts w:hint="eastAsia"/>
        </w:rPr>
        <w:t>2009</w:t>
      </w:r>
      <w:r>
        <w:rPr>
          <w:rFonts w:hint="eastAsia"/>
        </w:rPr>
        <w:t>〕</w:t>
      </w:r>
      <w:r>
        <w:rPr>
          <w:rFonts w:hint="eastAsia"/>
        </w:rPr>
        <w:t>59</w:t>
      </w:r>
      <w:r>
        <w:rPr>
          <w:rFonts w:hint="eastAsia"/>
        </w:rPr>
        <w:t>号文件第四条规定的“企业发生其他法律形式简单改变”的，可依照以下规定进行企业所得税处理：</w:t>
      </w:r>
      <w:r>
        <w:rPr>
          <w:rFonts w:hint="eastAsia"/>
        </w:rPr>
        <w:br/>
      </w:r>
      <w:r>
        <w:rPr>
          <w:rFonts w:hint="eastAsia"/>
        </w:rPr>
        <w:t xml:space="preserve">　　改制中资产评估增值不计入应纳税所得额；资产的计税基础按其原有计税基础确定；资产增值部分的折旧或者摊销不得在税前扣除。</w:t>
      </w:r>
      <w:r>
        <w:rPr>
          <w:rFonts w:hint="eastAsia"/>
        </w:rPr>
        <w:br/>
      </w:r>
      <w:r>
        <w:rPr>
          <w:rFonts w:hint="eastAsia"/>
        </w:rPr>
        <w:t xml:space="preserve">　　二、全民所有制企业资产评估增值相关材料应由改制后的企业留存备查。</w:t>
      </w:r>
      <w:r>
        <w:rPr>
          <w:rFonts w:hint="eastAsia"/>
        </w:rPr>
        <w:br/>
      </w:r>
      <w:r>
        <w:rPr>
          <w:rFonts w:hint="eastAsia"/>
        </w:rPr>
        <w:t xml:space="preserve">　　三、本公告适用于</w:t>
      </w:r>
      <w:r>
        <w:rPr>
          <w:rFonts w:hint="eastAsia"/>
        </w:rPr>
        <w:t>2017</w:t>
      </w:r>
      <w:r>
        <w:rPr>
          <w:rFonts w:hint="eastAsia"/>
        </w:rPr>
        <w:t>年度及以后年度企业所得税汇算清缴。此前发生的全民所有制企业公司制改制，尚未进行企业所得税处理的，可依照本公告执行。</w:t>
      </w:r>
      <w:r>
        <w:rPr>
          <w:rFonts w:hint="eastAsia"/>
        </w:rPr>
        <w:br/>
      </w:r>
      <w:r>
        <w:rPr>
          <w:rFonts w:hint="eastAsia"/>
        </w:rPr>
        <w:t xml:space="preserve">　　特此公告。</w:t>
      </w:r>
    </w:p>
    <w:p w:rsidR="00FE7DF6" w:rsidRDefault="00FE7DF6">
      <w:pPr>
        <w:spacing w:line="380" w:lineRule="exact"/>
        <w:ind w:leftChars="534" w:left="1282" w:firstLineChars="541" w:firstLine="1521"/>
        <w:contextualSpacing/>
        <w:rPr>
          <w:rFonts w:eastAsia="黑体"/>
          <w:b/>
          <w:sz w:val="28"/>
        </w:rPr>
      </w:pPr>
    </w:p>
    <w:p w:rsidR="00FE7DF6" w:rsidRDefault="00162274">
      <w:pPr>
        <w:pStyle w:val="3"/>
      </w:pPr>
      <w:bookmarkStart w:id="8" w:name="_Toc9632"/>
      <w:r>
        <w:rPr>
          <w:rFonts w:hint="eastAsia"/>
        </w:rPr>
        <w:t>国家税务总局</w:t>
      </w:r>
      <w:r>
        <w:rPr>
          <w:rFonts w:hint="eastAsia"/>
        </w:rPr>
        <w:t xml:space="preserve"> </w:t>
      </w:r>
      <w:r>
        <w:rPr>
          <w:rFonts w:hint="eastAsia"/>
        </w:rPr>
        <w:t>科技部关于加强企业研发费用</w:t>
      </w:r>
      <w:r>
        <w:rPr>
          <w:rFonts w:hint="eastAsia"/>
        </w:rPr>
        <w:br/>
      </w:r>
      <w:r>
        <w:rPr>
          <w:rFonts w:hint="eastAsia"/>
        </w:rPr>
        <w:t>税前加计扣除政策贯彻落实工作的通知</w:t>
      </w:r>
      <w:bookmarkEnd w:id="8"/>
    </w:p>
    <w:p w:rsidR="00FE7DF6" w:rsidRDefault="00162274">
      <w:pPr>
        <w:pStyle w:val="4"/>
      </w:pPr>
      <w:bookmarkStart w:id="9" w:name="_Toc581"/>
      <w:proofErr w:type="gramStart"/>
      <w:r>
        <w:rPr>
          <w:rFonts w:hint="eastAsia"/>
        </w:rPr>
        <w:t>税总发</w:t>
      </w:r>
      <w:proofErr w:type="gramEnd"/>
      <w:r>
        <w:rPr>
          <w:rFonts w:hint="eastAsia"/>
        </w:rPr>
        <w:t>〔2017〕106号  2017-9-18</w:t>
      </w:r>
      <w:bookmarkEnd w:id="9"/>
    </w:p>
    <w:p w:rsidR="00FE7DF6" w:rsidRDefault="00162274">
      <w:pPr>
        <w:spacing w:line="380" w:lineRule="exact"/>
        <w:ind w:firstLine="480"/>
        <w:contextualSpacing/>
      </w:pPr>
      <w:r>
        <w:rPr>
          <w:rFonts w:hint="eastAsia"/>
        </w:rPr>
        <w:t>各省、自治区、直辖市和计划单列市国家税务局、地方税务局、科技厅（委、局），新疆生产建设兵团科技局：</w:t>
      </w:r>
      <w:r>
        <w:rPr>
          <w:rFonts w:hint="eastAsia"/>
        </w:rPr>
        <w:br/>
      </w:r>
      <w:r>
        <w:rPr>
          <w:rFonts w:hint="eastAsia"/>
        </w:rPr>
        <w:t xml:space="preserve">　　为进一步推进简政放权、放管结合、优化服务改革，积极为企业减负增效，增强企业技术创新动力，结合《财政部</w:t>
      </w:r>
      <w:r>
        <w:rPr>
          <w:rFonts w:hint="eastAsia"/>
        </w:rPr>
        <w:t xml:space="preserve"> </w:t>
      </w:r>
      <w:r>
        <w:rPr>
          <w:rFonts w:hint="eastAsia"/>
        </w:rPr>
        <w:t>国家税务总局</w:t>
      </w:r>
      <w:r>
        <w:rPr>
          <w:rFonts w:hint="eastAsia"/>
        </w:rPr>
        <w:t xml:space="preserve"> </w:t>
      </w:r>
      <w:r>
        <w:rPr>
          <w:rFonts w:hint="eastAsia"/>
        </w:rPr>
        <w:t>科技部关于完善研究开发费用税前加计扣除政策的通知》（财税〔</w:t>
      </w:r>
      <w:r>
        <w:rPr>
          <w:rFonts w:hint="eastAsia"/>
        </w:rPr>
        <w:t>2015</w:t>
      </w:r>
      <w:r>
        <w:rPr>
          <w:rFonts w:hint="eastAsia"/>
        </w:rPr>
        <w:t>〕</w:t>
      </w:r>
      <w:r>
        <w:rPr>
          <w:rFonts w:hint="eastAsia"/>
        </w:rPr>
        <w:t>119</w:t>
      </w:r>
      <w:r>
        <w:rPr>
          <w:rFonts w:hint="eastAsia"/>
        </w:rPr>
        <w:t>号）、《财政部</w:t>
      </w:r>
      <w:r>
        <w:rPr>
          <w:rFonts w:hint="eastAsia"/>
        </w:rPr>
        <w:t xml:space="preserve"> </w:t>
      </w:r>
      <w:r>
        <w:rPr>
          <w:rFonts w:hint="eastAsia"/>
        </w:rPr>
        <w:t>税务总局</w:t>
      </w:r>
      <w:r>
        <w:rPr>
          <w:rFonts w:hint="eastAsia"/>
        </w:rPr>
        <w:t xml:space="preserve"> </w:t>
      </w:r>
      <w:r>
        <w:rPr>
          <w:rFonts w:hint="eastAsia"/>
        </w:rPr>
        <w:t>科技部关于提高科技型中小企业研究开发费用税前加计扣除比例的通知》（财税〔</w:t>
      </w:r>
      <w:r>
        <w:rPr>
          <w:rFonts w:hint="eastAsia"/>
        </w:rPr>
        <w:t>2017</w:t>
      </w:r>
      <w:r>
        <w:rPr>
          <w:rFonts w:hint="eastAsia"/>
        </w:rPr>
        <w:t>〕</w:t>
      </w:r>
      <w:r>
        <w:rPr>
          <w:rFonts w:hint="eastAsia"/>
        </w:rPr>
        <w:t>34</w:t>
      </w:r>
      <w:r>
        <w:rPr>
          <w:rFonts w:hint="eastAsia"/>
        </w:rPr>
        <w:t>号）、《科技部</w:t>
      </w:r>
      <w:r>
        <w:rPr>
          <w:rFonts w:hint="eastAsia"/>
        </w:rPr>
        <w:t xml:space="preserve"> </w:t>
      </w:r>
      <w:r>
        <w:rPr>
          <w:rFonts w:hint="eastAsia"/>
        </w:rPr>
        <w:t>财政部</w:t>
      </w:r>
      <w:r>
        <w:rPr>
          <w:rFonts w:hint="eastAsia"/>
        </w:rPr>
        <w:t xml:space="preserve"> </w:t>
      </w:r>
      <w:r>
        <w:rPr>
          <w:rFonts w:hint="eastAsia"/>
        </w:rPr>
        <w:t>国家税务总局关于印发〈科技型中小企业评价办法〉的通知》（国科发政〔</w:t>
      </w:r>
      <w:r>
        <w:rPr>
          <w:rFonts w:hint="eastAsia"/>
        </w:rPr>
        <w:t>2017</w:t>
      </w:r>
      <w:r>
        <w:rPr>
          <w:rFonts w:hint="eastAsia"/>
        </w:rPr>
        <w:t>〕</w:t>
      </w:r>
      <w:r>
        <w:rPr>
          <w:rFonts w:hint="eastAsia"/>
        </w:rPr>
        <w:t>115</w:t>
      </w:r>
      <w:r>
        <w:rPr>
          <w:rFonts w:hint="eastAsia"/>
        </w:rPr>
        <w:t>号）以及《科技部</w:t>
      </w:r>
      <w:r>
        <w:rPr>
          <w:rFonts w:hint="eastAsia"/>
        </w:rPr>
        <w:t xml:space="preserve"> </w:t>
      </w:r>
      <w:r>
        <w:rPr>
          <w:rFonts w:hint="eastAsia"/>
        </w:rPr>
        <w:t>财政部</w:t>
      </w:r>
      <w:r>
        <w:rPr>
          <w:rFonts w:hint="eastAsia"/>
        </w:rPr>
        <w:t xml:space="preserve"> </w:t>
      </w:r>
      <w:r>
        <w:rPr>
          <w:rFonts w:hint="eastAsia"/>
        </w:rPr>
        <w:t>国家税务总局关于进一步做好企业研发费用加计扣除政策落实工作的通知》（国科发政〔</w:t>
      </w:r>
      <w:r>
        <w:rPr>
          <w:rFonts w:hint="eastAsia"/>
        </w:rPr>
        <w:t>2017</w:t>
      </w:r>
      <w:r>
        <w:rPr>
          <w:rFonts w:hint="eastAsia"/>
        </w:rPr>
        <w:t>〕</w:t>
      </w:r>
      <w:r>
        <w:rPr>
          <w:rFonts w:hint="eastAsia"/>
        </w:rPr>
        <w:t>211</w:t>
      </w:r>
      <w:r>
        <w:rPr>
          <w:rFonts w:hint="eastAsia"/>
        </w:rPr>
        <w:t>号）规定，现就加强企业研发费用税前加计扣除政策贯彻落实工作通知如下：</w:t>
      </w:r>
      <w:r>
        <w:rPr>
          <w:rFonts w:hint="eastAsia"/>
        </w:rPr>
        <w:br/>
      </w:r>
      <w:r>
        <w:rPr>
          <w:rFonts w:hint="eastAsia"/>
        </w:rPr>
        <w:t xml:space="preserve">　</w:t>
      </w:r>
      <w:r>
        <w:rPr>
          <w:rFonts w:hint="eastAsia"/>
          <w:b/>
          <w:bCs/>
        </w:rPr>
        <w:t xml:space="preserve">　一、提高思想认识，加强组织领导。</w:t>
      </w:r>
      <w:r>
        <w:rPr>
          <w:rFonts w:hint="eastAsia"/>
        </w:rPr>
        <w:t>各级税务部门和科技部门应提高思想认识，站在贯彻落实创新驱动发展战略、深化供给侧结构性改革、促进新旧动能转换的高度，通过落实好研发费用税前加计扣除政策，积极</w:t>
      </w:r>
      <w:r>
        <w:rPr>
          <w:rFonts w:hint="eastAsia"/>
        </w:rPr>
        <w:lastRenderedPageBreak/>
        <w:t>主动谋创新、促发展。要把落实好研发费用税前加计扣除政策作为本单位的一项重要工作，加强组织领导，增强服务观念，精心谋划部署，夯实管理责任，依据相关政策及管理规定</w:t>
      </w:r>
      <w:r>
        <w:rPr>
          <w:rFonts w:hint="eastAsia"/>
        </w:rPr>
        <w:t>,</w:t>
      </w:r>
      <w:r>
        <w:rPr>
          <w:rFonts w:hint="eastAsia"/>
        </w:rPr>
        <w:t>强化有关事项的事前、事中、事后管理和服务，积极、稳妥地做好研发费用税前加计扣除政策的贯彻落实工作。要将研发费用税前加计扣除等创新支持政策落实情况作为对各级税务和科技部门绩效考核的重要内容。</w:t>
      </w:r>
      <w:r>
        <w:rPr>
          <w:rFonts w:hint="eastAsia"/>
        </w:rPr>
        <w:br/>
      </w:r>
      <w:r>
        <w:rPr>
          <w:rFonts w:hint="eastAsia"/>
        </w:rPr>
        <w:t xml:space="preserve">　　</w:t>
      </w:r>
      <w:r>
        <w:rPr>
          <w:rFonts w:hint="eastAsia"/>
          <w:b/>
          <w:bCs/>
        </w:rPr>
        <w:t>二、强化合作意识，完善合作机制。</w:t>
      </w:r>
      <w:r>
        <w:rPr>
          <w:rFonts w:hint="eastAsia"/>
        </w:rPr>
        <w:t>各级税务部门和科技部门要紧密配合，建立和完善研发费用税前加计扣除政策部门间的联合工作机制。就涉及企业切身利益的研发项目鉴定问题，包括事中异议项目鉴定以及事后核查异议项目鉴定，统一政策口径，明确专门协调机制，制定异议研发项目鉴定实施细则，规范办理流程。</w:t>
      </w:r>
      <w:r>
        <w:rPr>
          <w:rFonts w:hint="eastAsia"/>
        </w:rPr>
        <w:br/>
      </w:r>
      <w:r>
        <w:rPr>
          <w:rFonts w:hint="eastAsia"/>
        </w:rPr>
        <w:t xml:space="preserve">　　</w:t>
      </w:r>
      <w:r>
        <w:rPr>
          <w:rFonts w:hint="eastAsia"/>
          <w:b/>
          <w:bCs/>
        </w:rPr>
        <w:t>三、简化管理方式，优化操作流程。</w:t>
      </w:r>
      <w:r>
        <w:rPr>
          <w:rFonts w:hint="eastAsia"/>
        </w:rPr>
        <w:t>各级税务部门和科技部门要简化管理方式，优化操作流程，确保政策落地。优化委托研发与合作研发项目合同登记管理方式，坚持“实质重于形式”的原则。凡研发项目合同具备技术合同登记的实质性要素，仅在形式上与技术合同示范文本存在差异的，也应予以登记，不得要求企业重新按照技术合同示范文本进行修改报送。</w:t>
      </w:r>
      <w:r>
        <w:rPr>
          <w:rFonts w:hint="eastAsia"/>
        </w:rPr>
        <w:br/>
      </w:r>
      <w:r>
        <w:rPr>
          <w:rFonts w:hint="eastAsia"/>
        </w:rPr>
        <w:t xml:space="preserve">　</w:t>
      </w:r>
      <w:r>
        <w:rPr>
          <w:rFonts w:hint="eastAsia"/>
          <w:b/>
          <w:bCs/>
        </w:rPr>
        <w:t xml:space="preserve">　四、加大宣传力度，实现“应知尽知”。</w:t>
      </w:r>
      <w:r>
        <w:rPr>
          <w:rFonts w:hint="eastAsia"/>
        </w:rPr>
        <w:t>各地要充分利用官方网站、微信、微博、</w:t>
      </w:r>
      <w:r>
        <w:rPr>
          <w:rFonts w:hint="eastAsia"/>
        </w:rPr>
        <w:t>APP</w:t>
      </w:r>
      <w:r>
        <w:rPr>
          <w:rFonts w:hint="eastAsia"/>
        </w:rPr>
        <w:t>等方式开展多维度、多渠道的宣传，提醒纳税人及时申报享受研发费用税前加计扣除政策。税务部门和科技部门要联合开展宣传活动，精准锁定政策受惠企业群体，通过开展“键对键”的网上沟通，“面对面”的精准辅导，印发宣传资料等多种方式，扩大宣传辅导覆盖面，方便企业及时了解政策和管理要求。在宣传辅导工作中，要规范政策解答，及时为企业答疑解惑。</w:t>
      </w:r>
      <w:r>
        <w:rPr>
          <w:rFonts w:hint="eastAsia"/>
        </w:rPr>
        <w:br/>
      </w:r>
      <w:r>
        <w:rPr>
          <w:rFonts w:hint="eastAsia"/>
        </w:rPr>
        <w:t xml:space="preserve">　　</w:t>
      </w:r>
      <w:r>
        <w:rPr>
          <w:rFonts w:hint="eastAsia"/>
          <w:b/>
          <w:bCs/>
        </w:rPr>
        <w:t>五、加强政策辅导，确保“应享尽享”。</w:t>
      </w:r>
      <w:r>
        <w:rPr>
          <w:rFonts w:hint="eastAsia"/>
        </w:rPr>
        <w:t>各级税务部门和科技部门要通过各种方式为企业提供研发项目管理和研发费用归集等政策辅导，切实加大政策落实力度。对尚处于亏损期的企业，进一步加大宣传及服务力度，引导企业及时办理税务备案等相关手续。要督促广大科技型中小企业按照《科技型中小企业评价办法》（国科发政〔</w:t>
      </w:r>
      <w:r>
        <w:rPr>
          <w:rFonts w:hint="eastAsia"/>
        </w:rPr>
        <w:t>2017</w:t>
      </w:r>
      <w:r>
        <w:rPr>
          <w:rFonts w:hint="eastAsia"/>
        </w:rPr>
        <w:t>〕</w:t>
      </w:r>
      <w:r>
        <w:rPr>
          <w:rFonts w:hint="eastAsia"/>
        </w:rPr>
        <w:t>115</w:t>
      </w:r>
      <w:r>
        <w:rPr>
          <w:rFonts w:hint="eastAsia"/>
        </w:rPr>
        <w:t>号文件印发）规定，到“全国科技型中小企业信息服务平台”进行自主评价和登记，及时取得登记编号，确保纳税人政策落实“应享尽享”。</w:t>
      </w:r>
      <w:r>
        <w:rPr>
          <w:rFonts w:hint="eastAsia"/>
        </w:rPr>
        <w:br/>
      </w:r>
      <w:r>
        <w:rPr>
          <w:rFonts w:hint="eastAsia"/>
          <w:b/>
          <w:bCs/>
        </w:rPr>
        <w:t xml:space="preserve">　　六、强化督导检查，确保落地见效。</w:t>
      </w:r>
      <w:r>
        <w:rPr>
          <w:rFonts w:hint="eastAsia"/>
        </w:rPr>
        <w:t>各省税务部门和科技部门要开</w:t>
      </w:r>
      <w:r>
        <w:rPr>
          <w:rFonts w:hint="eastAsia"/>
        </w:rPr>
        <w:lastRenderedPageBreak/>
        <w:t>展联合督导检查，加大对政策落实的督导力度，密切跟踪政策执行情况，随时收集基层和纳税人政策落实情况的反馈和工作建议，并加强部门间的信息沟通，确保优惠政策落地见效。税务总局和科技部将视情况适时联合开展督导检查。</w:t>
      </w:r>
    </w:p>
    <w:p w:rsidR="00FE7DF6" w:rsidRDefault="00FE7DF6">
      <w:pPr>
        <w:spacing w:line="380" w:lineRule="exact"/>
        <w:ind w:firstLine="480"/>
        <w:contextualSpacing/>
      </w:pPr>
    </w:p>
    <w:p w:rsidR="00FE7DF6" w:rsidRDefault="00162274">
      <w:pPr>
        <w:pStyle w:val="3"/>
      </w:pPr>
      <w:bookmarkStart w:id="10" w:name="_Toc30779"/>
      <w:r>
        <w:t>财政部　税务总局　国家发展改革委</w:t>
      </w:r>
      <w:r>
        <w:rPr>
          <w:rFonts w:hint="eastAsia"/>
        </w:rPr>
        <w:t xml:space="preserve"> </w:t>
      </w:r>
      <w:r>
        <w:t>工业和信息化部</w:t>
      </w:r>
      <w:r>
        <w:br/>
      </w:r>
      <w:r>
        <w:t>环境保护部关于印发节能节水和环境保护专用设备</w:t>
      </w:r>
      <w:r>
        <w:br/>
      </w:r>
      <w:r>
        <w:t>企业所得税优惠目录（</w:t>
      </w:r>
      <w:r>
        <w:t>2017</w:t>
      </w:r>
      <w:r>
        <w:t>年版）的通知</w:t>
      </w:r>
      <w:bookmarkEnd w:id="10"/>
    </w:p>
    <w:p w:rsidR="00FE7DF6" w:rsidRDefault="00162274">
      <w:pPr>
        <w:pStyle w:val="4"/>
      </w:pPr>
      <w:bookmarkStart w:id="11" w:name="_Toc14104"/>
      <w:r>
        <w:t>财税〔2017〕71号</w:t>
      </w:r>
      <w:r>
        <w:rPr>
          <w:rFonts w:hint="eastAsia"/>
        </w:rPr>
        <w:t xml:space="preserve">  </w:t>
      </w:r>
      <w:r>
        <w:t>2017</w:t>
      </w:r>
      <w:r>
        <w:rPr>
          <w:rFonts w:hint="eastAsia"/>
        </w:rPr>
        <w:t>-</w:t>
      </w:r>
      <w:r>
        <w:t>9</w:t>
      </w:r>
      <w:r>
        <w:rPr>
          <w:rFonts w:hint="eastAsia"/>
        </w:rPr>
        <w:t>-</w:t>
      </w:r>
      <w:r>
        <w:t>6</w:t>
      </w:r>
      <w:bookmarkEnd w:id="11"/>
    </w:p>
    <w:p w:rsidR="00FE7DF6" w:rsidRDefault="00162274">
      <w:pPr>
        <w:spacing w:line="380" w:lineRule="exact"/>
        <w:ind w:firstLine="480"/>
        <w:contextualSpacing/>
      </w:pPr>
      <w:r>
        <w:t>各省、自治区、直辖市、计划单列市财政厅（局）、国家税务局、地方税务局、发展改革委、工业和信息化主管部门、环境保护厅（局），新疆生产建设兵团财务局、发展改革委、工业和信息化委员会、环境保护局：</w:t>
      </w:r>
    </w:p>
    <w:p w:rsidR="00FE7DF6" w:rsidRDefault="00162274">
      <w:pPr>
        <w:spacing w:line="380" w:lineRule="exact"/>
        <w:ind w:firstLine="480"/>
        <w:contextualSpacing/>
      </w:pPr>
      <w:r>
        <w:t>经国务院同意，现就节能节水和环境保护专用设备企业所得税优惠目录调整完善事项及有关政策问题通知如下：</w:t>
      </w:r>
    </w:p>
    <w:p w:rsidR="00FE7DF6" w:rsidRDefault="00162274">
      <w:pPr>
        <w:spacing w:line="380" w:lineRule="exact"/>
        <w:ind w:firstLine="480"/>
        <w:contextualSpacing/>
      </w:pPr>
      <w:r>
        <w:t>一、对企业购置并实际使用节能节水和环境保护专用设备享受企业所得税抵免优惠政策的适用目录进行适当调整，统一按《节能节水专用设备企业所得税优惠目录（</w:t>
      </w:r>
      <w:r>
        <w:t>2017</w:t>
      </w:r>
      <w:r>
        <w:t>年版）》（附件</w:t>
      </w:r>
      <w:r>
        <w:t>1</w:t>
      </w:r>
      <w:r>
        <w:t>）和《环境保护专用设备企业所得税优惠目录（</w:t>
      </w:r>
      <w:r>
        <w:t>2017</w:t>
      </w:r>
      <w:r>
        <w:t>年版）》（附件</w:t>
      </w:r>
      <w:r>
        <w:t>2</w:t>
      </w:r>
      <w:r>
        <w:t>）执行。</w:t>
      </w:r>
    </w:p>
    <w:p w:rsidR="00FE7DF6" w:rsidRDefault="00162274">
      <w:pPr>
        <w:spacing w:line="380" w:lineRule="exact"/>
        <w:ind w:firstLine="480"/>
        <w:contextualSpacing/>
      </w:pPr>
      <w:r>
        <w:t>二、按照国务院关于简化行政审批的要求，进一步优化优惠管理机制，实行企业自行申报并直接享受优惠、税务部门强化后续管理的机制。企业购置节能节水和环境保护专用设备，应自行判断是否符合税收优惠政策规定条件，按规定向税务部门履行企业所得税优惠备案手续后直接享受税收优惠，税务部门采取税收风险管理、稽查、纳税评估等方式强化后续管理。</w:t>
      </w:r>
    </w:p>
    <w:p w:rsidR="00FE7DF6" w:rsidRDefault="00162274">
      <w:pPr>
        <w:spacing w:line="380" w:lineRule="exact"/>
        <w:ind w:firstLine="480"/>
        <w:contextualSpacing/>
      </w:pPr>
      <w:r>
        <w:t>三、建立部门协调配合机制，切实落实节能节水和环境保护专用设备税收抵免优惠政策。税务部门在执行税收优惠政策过程中，不能准确判定企业购置的专用设备是否符合相关技术指标等税收优惠政策规定条件的，可提请地市级（含）以上发展改革、工业和信息化、环境保护等部门，由其委托专业机构出具技术鉴定意见，相关部门应积极配合。对不符合税收优惠政策规定条件的，由税务机关按《税收征管法》及有关规定进行相应处理。</w:t>
      </w:r>
    </w:p>
    <w:p w:rsidR="00FE7DF6" w:rsidRDefault="00162274">
      <w:pPr>
        <w:spacing w:line="380" w:lineRule="exact"/>
        <w:ind w:firstLine="480"/>
        <w:contextualSpacing/>
      </w:pPr>
      <w:r>
        <w:lastRenderedPageBreak/>
        <w:t>四、本通知所称税收优惠政策规定条件，是指《节能节水专用设备企业所得税优惠目录（</w:t>
      </w:r>
      <w:r>
        <w:t>2017</w:t>
      </w:r>
      <w:r>
        <w:t>年版）》和《环境保护专用设备企业所得税优惠目录（</w:t>
      </w:r>
      <w:r>
        <w:t>2017</w:t>
      </w:r>
      <w:r>
        <w:t>年版）》所规定的设备类别、设备名称、性能参数、应用领域和执行标准。</w:t>
      </w:r>
    </w:p>
    <w:p w:rsidR="00FE7DF6" w:rsidRDefault="00162274">
      <w:pPr>
        <w:spacing w:line="380" w:lineRule="exact"/>
        <w:ind w:firstLine="480"/>
        <w:contextualSpacing/>
      </w:pPr>
      <w:r>
        <w:t>五、本通知自</w:t>
      </w:r>
      <w:r>
        <w:t>2017</w:t>
      </w:r>
      <w:r>
        <w:t>年</w:t>
      </w:r>
      <w:r>
        <w:t>1</w:t>
      </w:r>
      <w:r>
        <w:t>月</w:t>
      </w:r>
      <w:r>
        <w:t>1</w:t>
      </w:r>
      <w:r>
        <w:t>日起施行。《节能节水专用设备企业所得税优惠目录（</w:t>
      </w:r>
      <w:r>
        <w:t>2008</w:t>
      </w:r>
      <w:r>
        <w:t>年版）》和《环境保护专用设备企业所得税优惠目录（</w:t>
      </w:r>
      <w:r>
        <w:t>2008</w:t>
      </w:r>
      <w:r>
        <w:t>年版）》自</w:t>
      </w:r>
      <w:r>
        <w:t>2017</w:t>
      </w:r>
      <w:r>
        <w:t>年</w:t>
      </w:r>
      <w:r>
        <w:t>10</w:t>
      </w:r>
      <w:r>
        <w:t>月</w:t>
      </w:r>
      <w:r>
        <w:t>1</w:t>
      </w:r>
      <w:r>
        <w:t>日起废止，企业在</w:t>
      </w:r>
      <w:r>
        <w:t>2017</w:t>
      </w:r>
      <w:r>
        <w:t>年</w:t>
      </w:r>
      <w:r>
        <w:t>1</w:t>
      </w:r>
      <w:r>
        <w:t>月</w:t>
      </w:r>
      <w:r>
        <w:t>1</w:t>
      </w:r>
      <w:r>
        <w:t>日至</w:t>
      </w:r>
      <w:r>
        <w:t>2017</w:t>
      </w:r>
      <w:r>
        <w:t>年</w:t>
      </w:r>
      <w:r>
        <w:t>9</w:t>
      </w:r>
      <w:r>
        <w:t>月</w:t>
      </w:r>
      <w:r>
        <w:t>30</w:t>
      </w:r>
      <w:r>
        <w:t>日购置的专用设备符合</w:t>
      </w:r>
      <w:r>
        <w:t>2008</w:t>
      </w:r>
      <w:r>
        <w:t>年</w:t>
      </w:r>
      <w:proofErr w:type="gramStart"/>
      <w:r>
        <w:t>版优惠</w:t>
      </w:r>
      <w:proofErr w:type="gramEnd"/>
      <w:r>
        <w:t>目录规定的，也可享受税收优惠。</w:t>
      </w:r>
    </w:p>
    <w:p w:rsidR="00FE7DF6" w:rsidRDefault="00162274">
      <w:pPr>
        <w:spacing w:line="380" w:lineRule="exact"/>
        <w:ind w:firstLine="480"/>
        <w:contextualSpacing/>
      </w:pPr>
      <w:r>
        <w:t>附件：</w:t>
      </w:r>
      <w:r>
        <w:t>1.</w:t>
      </w:r>
      <w:r>
        <w:t>节能节水专用设备企业所得税优惠目录（</w:t>
      </w:r>
      <w:r>
        <w:t>2017</w:t>
      </w:r>
      <w:r>
        <w:t>年版）</w:t>
      </w:r>
    </w:p>
    <w:p w:rsidR="00FE7DF6" w:rsidRDefault="00162274">
      <w:pPr>
        <w:spacing w:line="380" w:lineRule="exact"/>
        <w:ind w:firstLine="480"/>
        <w:contextualSpacing/>
      </w:pPr>
      <w:r>
        <w:t>2.</w:t>
      </w:r>
      <w:r>
        <w:t>环境保护专用设备企业所得税优惠目录（</w:t>
      </w:r>
      <w:r>
        <w:t>2017</w:t>
      </w:r>
      <w:r>
        <w:t>年版）</w:t>
      </w:r>
    </w:p>
    <w:p w:rsidR="00FE7DF6" w:rsidRDefault="00FE7DF6">
      <w:pPr>
        <w:spacing w:line="380" w:lineRule="exact"/>
        <w:ind w:firstLine="480"/>
        <w:contextualSpacing/>
      </w:pPr>
    </w:p>
    <w:p w:rsidR="00FE7DF6" w:rsidRDefault="00162274">
      <w:pPr>
        <w:pStyle w:val="3"/>
      </w:pPr>
      <w:bookmarkStart w:id="12" w:name="_Toc2810"/>
      <w:r>
        <w:rPr>
          <w:rFonts w:hint="eastAsia"/>
        </w:rPr>
        <w:t>国家税务总局</w:t>
      </w:r>
      <w:r>
        <w:rPr>
          <w:rFonts w:hint="eastAsia"/>
        </w:rPr>
        <w:br/>
      </w:r>
      <w:r>
        <w:rPr>
          <w:rFonts w:hint="eastAsia"/>
        </w:rPr>
        <w:t>关于修订税务行政处罚（简易）执法文书的公告</w:t>
      </w:r>
      <w:bookmarkEnd w:id="12"/>
    </w:p>
    <w:p w:rsidR="00FE7DF6" w:rsidRDefault="00162274">
      <w:pPr>
        <w:pStyle w:val="4"/>
      </w:pPr>
      <w:bookmarkStart w:id="13" w:name="_Toc17879"/>
      <w:r>
        <w:rPr>
          <w:rFonts w:hint="eastAsia"/>
        </w:rPr>
        <w:t>国家税务总局公告2017年第33号 2017-9-15</w:t>
      </w:r>
      <w:bookmarkEnd w:id="13"/>
    </w:p>
    <w:p w:rsidR="00FE7DF6" w:rsidRDefault="00162274">
      <w:pPr>
        <w:tabs>
          <w:tab w:val="left" w:pos="720"/>
        </w:tabs>
        <w:spacing w:line="380" w:lineRule="exact"/>
        <w:ind w:firstLineChars="50" w:firstLine="120"/>
        <w:contextualSpacing/>
      </w:pPr>
      <w:r>
        <w:rPr>
          <w:rFonts w:hint="eastAsia"/>
        </w:rPr>
        <w:t xml:space="preserve">　根据《国家税务总局关于进一步深化税务系统“放管服”改革</w:t>
      </w:r>
      <w:r>
        <w:rPr>
          <w:rFonts w:hint="eastAsia"/>
        </w:rPr>
        <w:t xml:space="preserve"> </w:t>
      </w:r>
      <w:r>
        <w:rPr>
          <w:rFonts w:hint="eastAsia"/>
        </w:rPr>
        <w:t>优化税收环境的若干意见》（</w:t>
      </w:r>
      <w:proofErr w:type="gramStart"/>
      <w:r>
        <w:rPr>
          <w:rFonts w:hint="eastAsia"/>
        </w:rPr>
        <w:t>税总发</w:t>
      </w:r>
      <w:proofErr w:type="gramEnd"/>
      <w:r>
        <w:rPr>
          <w:rFonts w:hint="eastAsia"/>
        </w:rPr>
        <w:t>〔</w:t>
      </w:r>
      <w:r>
        <w:rPr>
          <w:rFonts w:hint="eastAsia"/>
        </w:rPr>
        <w:t>2017</w:t>
      </w:r>
      <w:r>
        <w:rPr>
          <w:rFonts w:hint="eastAsia"/>
        </w:rPr>
        <w:t>〕</w:t>
      </w:r>
      <w:r>
        <w:rPr>
          <w:rFonts w:hint="eastAsia"/>
        </w:rPr>
        <w:t>101</w:t>
      </w:r>
      <w:r>
        <w:rPr>
          <w:rFonts w:hint="eastAsia"/>
        </w:rPr>
        <w:t>号）要求，进一步减轻纳税人负担，提高办税便利化程度，国家税务总局对适用简易程序的税务行政处罚执法文书进行了修订，现公告如下：</w:t>
      </w:r>
      <w:r>
        <w:rPr>
          <w:rFonts w:hint="eastAsia"/>
        </w:rPr>
        <w:br/>
      </w:r>
      <w:r>
        <w:rPr>
          <w:rFonts w:hint="eastAsia"/>
        </w:rPr>
        <w:t xml:space="preserve">　　一、税务机关依法对公民、法人或者其他组织当场</w:t>
      </w:r>
      <w:proofErr w:type="gramStart"/>
      <w:r>
        <w:rPr>
          <w:rFonts w:hint="eastAsia"/>
        </w:rPr>
        <w:t>作出</w:t>
      </w:r>
      <w:proofErr w:type="gramEnd"/>
      <w:r>
        <w:rPr>
          <w:rFonts w:hint="eastAsia"/>
        </w:rPr>
        <w:t>行政处罚决定的，使用修订后的《税务行政处罚决定书（简易）》（见附件），不再另行填写《陈述申辩笔录》和《税务文书送达回证》。</w:t>
      </w:r>
      <w:r>
        <w:rPr>
          <w:rFonts w:hint="eastAsia"/>
        </w:rPr>
        <w:br/>
      </w:r>
      <w:r>
        <w:rPr>
          <w:rFonts w:hint="eastAsia"/>
        </w:rPr>
        <w:t xml:space="preserve">　　二、本公告自</w:t>
      </w:r>
      <w:r>
        <w:rPr>
          <w:rFonts w:hint="eastAsia"/>
        </w:rPr>
        <w:t>2017</w:t>
      </w:r>
      <w:r>
        <w:rPr>
          <w:rFonts w:hint="eastAsia"/>
        </w:rPr>
        <w:t>年</w:t>
      </w:r>
      <w:r>
        <w:rPr>
          <w:rFonts w:hint="eastAsia"/>
        </w:rPr>
        <w:t>11</w:t>
      </w:r>
      <w:r>
        <w:rPr>
          <w:rFonts w:hint="eastAsia"/>
        </w:rPr>
        <w:t>月</w:t>
      </w:r>
      <w:r>
        <w:rPr>
          <w:rFonts w:hint="eastAsia"/>
        </w:rPr>
        <w:t>1</w:t>
      </w:r>
      <w:r>
        <w:rPr>
          <w:rFonts w:hint="eastAsia"/>
        </w:rPr>
        <w:t>日起施行。《国家税务总局关于印发全国统一税收执法文书式样的通知》（国税发〔</w:t>
      </w:r>
      <w:r>
        <w:rPr>
          <w:rFonts w:hint="eastAsia"/>
        </w:rPr>
        <w:t>2005</w:t>
      </w:r>
      <w:r>
        <w:rPr>
          <w:rFonts w:hint="eastAsia"/>
        </w:rPr>
        <w:t>〕</w:t>
      </w:r>
      <w:r>
        <w:rPr>
          <w:rFonts w:hint="eastAsia"/>
        </w:rPr>
        <w:t>179</w:t>
      </w:r>
      <w:r>
        <w:rPr>
          <w:rFonts w:hint="eastAsia"/>
        </w:rPr>
        <w:t>号）附件</w:t>
      </w:r>
      <w:r>
        <w:rPr>
          <w:rFonts w:hint="eastAsia"/>
        </w:rPr>
        <w:t>1</w:t>
      </w:r>
      <w:r>
        <w:rPr>
          <w:rFonts w:hint="eastAsia"/>
        </w:rPr>
        <w:t>中的《税务行政处罚决定书（简易）》同时废止。</w:t>
      </w:r>
      <w:r>
        <w:rPr>
          <w:rFonts w:hint="eastAsia"/>
        </w:rPr>
        <w:br/>
      </w:r>
      <w:r>
        <w:rPr>
          <w:rFonts w:hint="eastAsia"/>
        </w:rPr>
        <w:t xml:space="preserve">　　特此公告。</w:t>
      </w:r>
    </w:p>
    <w:p w:rsidR="00FE7DF6" w:rsidRDefault="00162274" w:rsidP="002550D7">
      <w:pPr>
        <w:tabs>
          <w:tab w:val="left" w:pos="720"/>
        </w:tabs>
        <w:spacing w:line="380" w:lineRule="exact"/>
        <w:ind w:firstLineChars="199" w:firstLine="478"/>
        <w:contextualSpacing/>
      </w:pPr>
      <w:r>
        <w:rPr>
          <w:rFonts w:hint="eastAsia"/>
        </w:rPr>
        <w:t>附件：税务行政处罚决定书（简易）（略）</w:t>
      </w:r>
    </w:p>
    <w:p w:rsidR="00FE7DF6" w:rsidRDefault="00FE7DF6">
      <w:pPr>
        <w:tabs>
          <w:tab w:val="left" w:pos="720"/>
        </w:tabs>
        <w:spacing w:line="380" w:lineRule="exact"/>
        <w:ind w:firstLineChars="1040" w:firstLine="2912"/>
        <w:contextualSpacing/>
        <w:rPr>
          <w:rFonts w:eastAsia="黑体"/>
          <w:sz w:val="28"/>
        </w:rPr>
      </w:pPr>
    </w:p>
    <w:p w:rsidR="00FE7DF6" w:rsidRDefault="00162274">
      <w:pPr>
        <w:pStyle w:val="3"/>
      </w:pPr>
      <w:bookmarkStart w:id="14" w:name="_Toc31203"/>
      <w:r>
        <w:rPr>
          <w:rFonts w:hint="eastAsia"/>
        </w:rPr>
        <w:lastRenderedPageBreak/>
        <w:t>国家税务总局</w:t>
      </w:r>
      <w:r>
        <w:rPr>
          <w:rFonts w:hint="eastAsia"/>
        </w:rPr>
        <w:br/>
      </w:r>
      <w:r>
        <w:rPr>
          <w:rFonts w:hint="eastAsia"/>
        </w:rPr>
        <w:t>关于创新跨区域涉税事项报验管理制度的通知</w:t>
      </w:r>
      <w:bookmarkEnd w:id="14"/>
    </w:p>
    <w:p w:rsidR="00FE7DF6" w:rsidRDefault="00162274">
      <w:pPr>
        <w:pStyle w:val="4"/>
      </w:pPr>
      <w:bookmarkStart w:id="15" w:name="_Toc22343"/>
      <w:proofErr w:type="gramStart"/>
      <w:r>
        <w:rPr>
          <w:rFonts w:hint="eastAsia"/>
        </w:rPr>
        <w:t>税总发</w:t>
      </w:r>
      <w:proofErr w:type="gramEnd"/>
      <w:r>
        <w:rPr>
          <w:rFonts w:hint="eastAsia"/>
        </w:rPr>
        <w:t>〔2017〕103号  2017-9-15</w:t>
      </w:r>
      <w:bookmarkEnd w:id="15"/>
    </w:p>
    <w:p w:rsidR="00FE7DF6" w:rsidRDefault="00162274">
      <w:pPr>
        <w:spacing w:line="380" w:lineRule="exact"/>
        <w:ind w:firstLineChars="0"/>
        <w:contextualSpacing/>
        <w:jc w:val="left"/>
      </w:pPr>
      <w:r>
        <w:rPr>
          <w:rFonts w:hint="eastAsia"/>
        </w:rPr>
        <w:t>各省、自治区、直辖市和计划单列市国家税务局、地方税务局</w:t>
      </w:r>
      <w:r>
        <w:rPr>
          <w:rFonts w:hint="eastAsia"/>
        </w:rPr>
        <w:t>:</w:t>
      </w:r>
      <w:r>
        <w:rPr>
          <w:rFonts w:hint="eastAsia"/>
        </w:rPr>
        <w:br/>
      </w:r>
      <w:r>
        <w:rPr>
          <w:rFonts w:hint="eastAsia"/>
        </w:rPr>
        <w:t xml:space="preserve">　　根据《国家税务总局关于进一步深化税务系统“放管服”改革</w:t>
      </w:r>
      <w:r>
        <w:rPr>
          <w:rFonts w:hint="eastAsia"/>
        </w:rPr>
        <w:t xml:space="preserve"> </w:t>
      </w:r>
      <w:r>
        <w:rPr>
          <w:rFonts w:hint="eastAsia"/>
        </w:rPr>
        <w:t>优化税收环境的若干意见》（</w:t>
      </w:r>
      <w:proofErr w:type="gramStart"/>
      <w:r>
        <w:rPr>
          <w:rFonts w:hint="eastAsia"/>
        </w:rPr>
        <w:t>税总发</w:t>
      </w:r>
      <w:proofErr w:type="gramEnd"/>
      <w:r>
        <w:rPr>
          <w:rFonts w:hint="eastAsia"/>
        </w:rPr>
        <w:t>〔</w:t>
      </w:r>
      <w:r>
        <w:rPr>
          <w:rFonts w:hint="eastAsia"/>
        </w:rPr>
        <w:t>2017</w:t>
      </w:r>
      <w:r>
        <w:rPr>
          <w:rFonts w:hint="eastAsia"/>
        </w:rPr>
        <w:t>〕</w:t>
      </w:r>
      <w:r>
        <w:rPr>
          <w:rFonts w:hint="eastAsia"/>
        </w:rPr>
        <w:t>101</w:t>
      </w:r>
      <w:r>
        <w:rPr>
          <w:rFonts w:hint="eastAsia"/>
        </w:rPr>
        <w:t>号）要求，切实减轻纳税人办税负担，提高税收征管效率，现就创新跨区域涉税事项报验管理制度，优化办理流程等有关事项通知如下：</w:t>
      </w:r>
      <w:r>
        <w:rPr>
          <w:rFonts w:hint="eastAsia"/>
        </w:rPr>
        <w:br/>
      </w:r>
      <w:r>
        <w:rPr>
          <w:rFonts w:hint="eastAsia"/>
          <w:b/>
          <w:bCs/>
        </w:rPr>
        <w:t xml:space="preserve">　　一、外出经营活动税收管理的更名与创新</w:t>
      </w:r>
      <w:r>
        <w:rPr>
          <w:rFonts w:hint="eastAsia"/>
        </w:rPr>
        <w:br/>
      </w:r>
      <w:r>
        <w:rPr>
          <w:rFonts w:hint="eastAsia"/>
        </w:rPr>
        <w:t xml:space="preserve">　　（一）将“外出经营活动税收管理”更名为“跨区域涉税事项报验管理”。外出经营活动税收管理作为现行税收征管的一项基本制度，是税收征管法实施细则和增值税暂行条例规定的法定事项，也是落实现行财政分配体制、解决跨区域经营纳税人的税收收入及征管职责在机构所在地与经营地之间划分问题的管理方式，对维持税收属地入库原则、防止漏征漏管和重复征收具有重要作用。按照该项制度的管理实质，将其更名为“跨区域涉税事项报验管理”。</w:t>
      </w:r>
      <w:r>
        <w:rPr>
          <w:rFonts w:hint="eastAsia"/>
        </w:rPr>
        <w:br/>
      </w:r>
      <w:r>
        <w:rPr>
          <w:rFonts w:hint="eastAsia"/>
        </w:rPr>
        <w:t xml:space="preserve">　　（二）纳税人跨区域经营前不再开具相关证明，改为填报《跨区域涉税事项报告表》。纳税人跨省（自治区、直辖市和计划单列市）临时从事生产经营活动的，不再开具《外出经营活动税收管理证明》，改向机构所在地的国税机关填报《跨区域涉税事项报告表》（附件</w:t>
      </w:r>
      <w:r>
        <w:rPr>
          <w:rFonts w:hint="eastAsia"/>
        </w:rPr>
        <w:t>1</w:t>
      </w:r>
      <w:r>
        <w:rPr>
          <w:rFonts w:hint="eastAsia"/>
        </w:rPr>
        <w:t>）。纳税人在省（自治区、直辖市和计划单列市）内跨县（市）临时从事生产经营活动的，是否实施跨区域涉税事项报验管理由各省（自治区、直辖市和计划单列市）税务机关自行确定。</w:t>
      </w:r>
      <w:r>
        <w:rPr>
          <w:rFonts w:hint="eastAsia"/>
        </w:rPr>
        <w:br/>
      </w:r>
      <w:r>
        <w:rPr>
          <w:rFonts w:hint="eastAsia"/>
        </w:rPr>
        <w:t xml:space="preserve">　　（三）取消跨区域涉税事项报验管理的固定有效期。税务机关不再按照</w:t>
      </w:r>
      <w:r>
        <w:rPr>
          <w:rFonts w:hint="eastAsia"/>
        </w:rPr>
        <w:t>180</w:t>
      </w:r>
      <w:r>
        <w:rPr>
          <w:rFonts w:hint="eastAsia"/>
        </w:rPr>
        <w:t>天设置报验管理的固定有效期，</w:t>
      </w:r>
      <w:proofErr w:type="gramStart"/>
      <w:r>
        <w:rPr>
          <w:rFonts w:hint="eastAsia"/>
        </w:rPr>
        <w:t>改按跨区域</w:t>
      </w:r>
      <w:proofErr w:type="gramEnd"/>
      <w:r>
        <w:rPr>
          <w:rFonts w:hint="eastAsia"/>
        </w:rPr>
        <w:t>经营合同执行期限作为有效期限。合同延期的，纳税人可向经营地或机构所在地的国税机关办理报验管理有效期限延期手续。</w:t>
      </w:r>
      <w:r>
        <w:rPr>
          <w:rFonts w:hint="eastAsia"/>
        </w:rPr>
        <w:br/>
      </w:r>
      <w:r>
        <w:rPr>
          <w:rFonts w:hint="eastAsia"/>
        </w:rPr>
        <w:t xml:space="preserve">　　（四）实行跨区域涉税事项报验管理信息电子化。跨区域报验管理事项的报告、报验、延期、反馈等信息，通过信息系统在机构所在地和经营地的国税机关之间传递，机构所在地的国税机关、地税机关之间，经营地</w:t>
      </w:r>
      <w:r>
        <w:rPr>
          <w:rFonts w:hint="eastAsia"/>
        </w:rPr>
        <w:lastRenderedPageBreak/>
        <w:t>的国税机关、地税机关之间均要实时共享相关信息。</w:t>
      </w:r>
      <w:r>
        <w:rPr>
          <w:rFonts w:hint="eastAsia"/>
        </w:rPr>
        <w:br/>
      </w:r>
      <w:r>
        <w:rPr>
          <w:rFonts w:hint="eastAsia"/>
        </w:rPr>
        <w:t xml:space="preserve">　　</w:t>
      </w:r>
      <w:r>
        <w:rPr>
          <w:rFonts w:hint="eastAsia"/>
          <w:b/>
          <w:bCs/>
        </w:rPr>
        <w:t>二、跨区域涉税事项报告、报验及反馈</w:t>
      </w:r>
      <w:r>
        <w:rPr>
          <w:rFonts w:hint="eastAsia"/>
        </w:rPr>
        <w:br/>
      </w:r>
      <w:r>
        <w:rPr>
          <w:rFonts w:hint="eastAsia"/>
        </w:rPr>
        <w:t xml:space="preserve">　　（一）《跨区域涉税事项报告表》填报</w:t>
      </w:r>
      <w:r>
        <w:rPr>
          <w:rFonts w:hint="eastAsia"/>
        </w:rPr>
        <w:br/>
      </w:r>
      <w:r>
        <w:rPr>
          <w:rFonts w:hint="eastAsia"/>
        </w:rPr>
        <w:t xml:space="preserve">　　具备网上办税条件的，纳税人可通过网上办税系统，自主填报《跨区域涉税事项报告表》。不具备网上办税条件的，纳税人向主管税务机关（办税服务厅）填报《跨区域涉税事项报告表》，并出示加载统一社会信用代码的营业执照副本（未换照的出示税务登记证副本），或加盖纳税人公章的副本复印件（以下统称“税务登记证件”）；已实行实名办税的纳税人只需填报《跨区域涉税事项报告表》。</w:t>
      </w:r>
      <w:r>
        <w:rPr>
          <w:rFonts w:hint="eastAsia"/>
        </w:rPr>
        <w:br/>
      </w:r>
      <w:r>
        <w:rPr>
          <w:rFonts w:hint="eastAsia"/>
        </w:rPr>
        <w:t xml:space="preserve">　　（二）跨区域涉税事项报验</w:t>
      </w:r>
      <w:r>
        <w:rPr>
          <w:rFonts w:hint="eastAsia"/>
        </w:rPr>
        <w:br/>
      </w:r>
      <w:r>
        <w:rPr>
          <w:rFonts w:hint="eastAsia"/>
        </w:rPr>
        <w:t xml:space="preserve">　　跨区域涉税事项由纳税人首次在经营地办理涉税事宜时，向经营地的国税机关报验。纳税人报验跨区域涉税事项时，应当出示税务登记证件。</w:t>
      </w:r>
      <w:r>
        <w:rPr>
          <w:rFonts w:hint="eastAsia"/>
        </w:rPr>
        <w:br/>
      </w:r>
      <w:r>
        <w:rPr>
          <w:rFonts w:hint="eastAsia"/>
        </w:rPr>
        <w:t xml:space="preserve">　　（三）跨区域涉税事项信息反馈</w:t>
      </w:r>
      <w:r>
        <w:rPr>
          <w:rFonts w:hint="eastAsia"/>
        </w:rPr>
        <w:br/>
      </w:r>
      <w:r>
        <w:rPr>
          <w:rFonts w:hint="eastAsia"/>
        </w:rPr>
        <w:t xml:space="preserve">　　纳税人跨区域经营活动结束后，应当结清经营地的国税机关、地税机关的应纳税款以及其他涉税事项，向经营地的国税机关填报《经营地涉税事项反馈表》（附件</w:t>
      </w:r>
      <w:r>
        <w:rPr>
          <w:rFonts w:hint="eastAsia"/>
        </w:rPr>
        <w:t>2</w:t>
      </w:r>
      <w:r>
        <w:rPr>
          <w:rFonts w:hint="eastAsia"/>
        </w:rPr>
        <w:t>）。</w:t>
      </w:r>
      <w:r>
        <w:rPr>
          <w:rFonts w:hint="eastAsia"/>
        </w:rPr>
        <w:br/>
      </w:r>
      <w:r>
        <w:rPr>
          <w:rFonts w:hint="eastAsia"/>
        </w:rPr>
        <w:t xml:space="preserve">　　经营地的国税机关核对《经营地涉税事项反馈表》后，将相关信息推送经营地的地税机关核对（</w:t>
      </w:r>
      <w:r>
        <w:rPr>
          <w:rFonts w:hint="eastAsia"/>
        </w:rPr>
        <w:t>2</w:t>
      </w:r>
      <w:r>
        <w:rPr>
          <w:rFonts w:hint="eastAsia"/>
        </w:rPr>
        <w:t>个工作日内完成核对并回复，实行联合办税的即时回复），地税机关同意办结的，经营地的国税机关应当及时将相关信息反馈给机构所在地的国税机关。纳税人不需要另行向机构所在地的税务机关反馈。</w:t>
      </w:r>
      <w:r>
        <w:rPr>
          <w:rFonts w:hint="eastAsia"/>
        </w:rPr>
        <w:br/>
      </w:r>
      <w:r>
        <w:rPr>
          <w:rFonts w:hint="eastAsia"/>
        </w:rPr>
        <w:t xml:space="preserve">　　（四）跨区域涉税事项反馈信息的处理</w:t>
      </w:r>
      <w:r>
        <w:rPr>
          <w:rFonts w:hint="eastAsia"/>
        </w:rPr>
        <w:br/>
      </w:r>
      <w:r>
        <w:rPr>
          <w:rFonts w:hint="eastAsia"/>
        </w:rPr>
        <w:t xml:space="preserve">　　机构所在地的国税机关要设置专岗，负责接收经营地的国税机关反馈信息，及时以适当方式告知纳税人，并适时对纳税人已抵减税款、在经营地已预缴税款和应预缴税款进行分析、比对，发现疑点的，及时推送至风险管理部门或者稽查部门组织应对。</w:t>
      </w:r>
      <w:r>
        <w:rPr>
          <w:rFonts w:hint="eastAsia"/>
        </w:rPr>
        <w:br/>
      </w:r>
      <w:r>
        <w:rPr>
          <w:rFonts w:hint="eastAsia"/>
        </w:rPr>
        <w:t xml:space="preserve">　</w:t>
      </w:r>
      <w:r>
        <w:rPr>
          <w:rFonts w:hint="eastAsia"/>
          <w:b/>
          <w:bCs/>
        </w:rPr>
        <w:t xml:space="preserve">　三、落实工作要求</w:t>
      </w:r>
      <w:r>
        <w:rPr>
          <w:rFonts w:hint="eastAsia"/>
        </w:rPr>
        <w:br/>
      </w:r>
      <w:r>
        <w:rPr>
          <w:rFonts w:hint="eastAsia"/>
        </w:rPr>
        <w:t xml:space="preserve">　　（一）各级税务机关要高度重视，充分认识跨区域涉税事项报验管理的重要意义。该项制度创新是落实国务院“放管服”改革要求的重要举措，是转变税收管理理念和管理方式的重要内容。该项工作的顺利推进，既有利于提高纳税人的办税便利化程度，也有利于促进经营地和机构所在地国税机关、地税机关协同开展事中事后管理。</w:t>
      </w:r>
      <w:r>
        <w:rPr>
          <w:rFonts w:hint="eastAsia"/>
        </w:rPr>
        <w:br/>
      </w:r>
      <w:r>
        <w:rPr>
          <w:rFonts w:hint="eastAsia"/>
        </w:rPr>
        <w:lastRenderedPageBreak/>
        <w:t xml:space="preserve">　　（二）各地税务机关要主动向当地政府汇报，向政府有关部门做好宣传解释工作，配合做好相关新旧制度的衔接。各地税务机关之间要加强沟通联系和协同配合，形成工作合力，采取切实有效措施解决工作中出现的问题，确保优化流程、精简资料等措施落到实处、取得实效，让纳税人真正享受到改革的红利。</w:t>
      </w:r>
      <w:r>
        <w:rPr>
          <w:rFonts w:hint="eastAsia"/>
        </w:rPr>
        <w:br/>
      </w:r>
      <w:r>
        <w:rPr>
          <w:rFonts w:hint="eastAsia"/>
        </w:rPr>
        <w:t xml:space="preserve">　　（三）各地税务机关要建立分管局领导为责任人、各部门分工协作的工作机制。信息化管理部门要按照新制度要求，优化和完善网上办税系统，保障跨区域涉税事项报验在线办理，顺畅运行。纳税服务部门要做好办税服务</w:t>
      </w:r>
      <w:proofErr w:type="gramStart"/>
      <w:r>
        <w:rPr>
          <w:rFonts w:hint="eastAsia"/>
        </w:rPr>
        <w:t>厅人员</w:t>
      </w:r>
      <w:proofErr w:type="gramEnd"/>
      <w:r>
        <w:rPr>
          <w:rFonts w:hint="eastAsia"/>
        </w:rPr>
        <w:t>培训，并充分利用办税服务厅宣传栏、</w:t>
      </w:r>
      <w:r>
        <w:rPr>
          <w:rFonts w:hint="eastAsia"/>
        </w:rPr>
        <w:t>12366</w:t>
      </w:r>
      <w:r>
        <w:rPr>
          <w:rFonts w:hint="eastAsia"/>
        </w:rPr>
        <w:t>纳税服务热线、税务机关门户网站等渠道开展对纳税人的宣传辅导工作；其他部门要依照自身职责做好相关配合工作。</w:t>
      </w:r>
      <w:r>
        <w:rPr>
          <w:rFonts w:hint="eastAsia"/>
        </w:rPr>
        <w:t> </w:t>
      </w:r>
      <w:r>
        <w:rPr>
          <w:rFonts w:hint="eastAsia"/>
        </w:rPr>
        <w:br/>
      </w:r>
      <w:r>
        <w:rPr>
          <w:rFonts w:hint="eastAsia"/>
        </w:rPr>
        <w:t xml:space="preserve">　　（四）税务总局已于</w:t>
      </w:r>
      <w:r>
        <w:rPr>
          <w:rFonts w:hint="eastAsia"/>
        </w:rPr>
        <w:t>2017</w:t>
      </w:r>
      <w:r>
        <w:rPr>
          <w:rFonts w:hint="eastAsia"/>
        </w:rPr>
        <w:t>年上半年在京津冀、长江经济</w:t>
      </w:r>
      <w:proofErr w:type="gramStart"/>
      <w:r>
        <w:rPr>
          <w:rFonts w:hint="eastAsia"/>
        </w:rPr>
        <w:t>带试点</w:t>
      </w:r>
      <w:proofErr w:type="gramEnd"/>
      <w:r>
        <w:rPr>
          <w:rFonts w:hint="eastAsia"/>
        </w:rPr>
        <w:t>相关管理制度，其他省税务机关可以借鉴试点地区的经验做法，进一步优化工作方案、细化工作措施，确保跨区域涉税事项报验管理工作的顺利推进。</w:t>
      </w:r>
      <w:r>
        <w:rPr>
          <w:rFonts w:hint="eastAsia"/>
        </w:rPr>
        <w:t> </w:t>
      </w:r>
      <w:r>
        <w:rPr>
          <w:rFonts w:hint="eastAsia"/>
        </w:rPr>
        <w:br/>
      </w:r>
      <w:r>
        <w:rPr>
          <w:rFonts w:hint="eastAsia"/>
        </w:rPr>
        <w:t xml:space="preserve">　　本规定自</w:t>
      </w:r>
      <w:r>
        <w:rPr>
          <w:rFonts w:hint="eastAsia"/>
        </w:rPr>
        <w:t>2017</w:t>
      </w:r>
      <w:r>
        <w:rPr>
          <w:rFonts w:hint="eastAsia"/>
        </w:rPr>
        <w:t>年</w:t>
      </w:r>
      <w:r>
        <w:rPr>
          <w:rFonts w:hint="eastAsia"/>
        </w:rPr>
        <w:t>9</w:t>
      </w:r>
      <w:r>
        <w:rPr>
          <w:rFonts w:hint="eastAsia"/>
        </w:rPr>
        <w:t>月</w:t>
      </w:r>
      <w:r>
        <w:rPr>
          <w:rFonts w:hint="eastAsia"/>
        </w:rPr>
        <w:t>30</w:t>
      </w:r>
      <w:r>
        <w:rPr>
          <w:rFonts w:hint="eastAsia"/>
        </w:rPr>
        <w:t>日起试行，</w:t>
      </w:r>
      <w:r>
        <w:rPr>
          <w:rFonts w:hint="eastAsia"/>
        </w:rPr>
        <w:t>10</w:t>
      </w:r>
      <w:r>
        <w:rPr>
          <w:rFonts w:hint="eastAsia"/>
        </w:rPr>
        <w:t>月</w:t>
      </w:r>
      <w:r>
        <w:rPr>
          <w:rFonts w:hint="eastAsia"/>
        </w:rPr>
        <w:t>30</w:t>
      </w:r>
      <w:r>
        <w:rPr>
          <w:rFonts w:hint="eastAsia"/>
        </w:rPr>
        <w:t>日起正式实施。</w:t>
      </w:r>
      <w:r>
        <w:rPr>
          <w:rFonts w:hint="eastAsia"/>
        </w:rPr>
        <w:t>2017</w:t>
      </w:r>
      <w:r>
        <w:rPr>
          <w:rFonts w:hint="eastAsia"/>
        </w:rPr>
        <w:t>年</w:t>
      </w:r>
      <w:r>
        <w:rPr>
          <w:rFonts w:hint="eastAsia"/>
        </w:rPr>
        <w:t>10</w:t>
      </w:r>
      <w:r>
        <w:rPr>
          <w:rFonts w:hint="eastAsia"/>
        </w:rPr>
        <w:t>月</w:t>
      </w:r>
      <w:r>
        <w:rPr>
          <w:rFonts w:hint="eastAsia"/>
        </w:rPr>
        <w:t>30</w:t>
      </w:r>
      <w:r>
        <w:rPr>
          <w:rFonts w:hint="eastAsia"/>
        </w:rPr>
        <w:t>日前已办理《外出经营活动税收管理证明》业务的仍按照《国家税务总局关于优化〈外出经营活动税收管理证明〉相关制度和办理程序的意见》（</w:t>
      </w:r>
      <w:proofErr w:type="gramStart"/>
      <w:r>
        <w:rPr>
          <w:rFonts w:hint="eastAsia"/>
        </w:rPr>
        <w:t>税总发</w:t>
      </w:r>
      <w:proofErr w:type="gramEnd"/>
      <w:r>
        <w:rPr>
          <w:rFonts w:hint="eastAsia"/>
        </w:rPr>
        <w:t>〔</w:t>
      </w:r>
      <w:r>
        <w:rPr>
          <w:rFonts w:hint="eastAsia"/>
        </w:rPr>
        <w:t>2016</w:t>
      </w:r>
      <w:r>
        <w:rPr>
          <w:rFonts w:hint="eastAsia"/>
        </w:rPr>
        <w:t>〕</w:t>
      </w:r>
      <w:r>
        <w:rPr>
          <w:rFonts w:hint="eastAsia"/>
        </w:rPr>
        <w:t>106</w:t>
      </w:r>
      <w:r>
        <w:rPr>
          <w:rFonts w:hint="eastAsia"/>
        </w:rPr>
        <w:t>号）执行。</w:t>
      </w:r>
    </w:p>
    <w:p w:rsidR="00FE7DF6" w:rsidRDefault="00162274">
      <w:pPr>
        <w:spacing w:line="380" w:lineRule="exact"/>
        <w:ind w:firstLine="480"/>
        <w:contextualSpacing/>
        <w:jc w:val="left"/>
      </w:pPr>
      <w:r>
        <w:rPr>
          <w:rFonts w:hint="eastAsia"/>
        </w:rPr>
        <w:t xml:space="preserve">　　附件：</w:t>
      </w:r>
      <w:r>
        <w:rPr>
          <w:rFonts w:hint="eastAsia"/>
        </w:rPr>
        <w:t>1.</w:t>
      </w:r>
      <w:r>
        <w:rPr>
          <w:rFonts w:hint="eastAsia"/>
        </w:rPr>
        <w:t>跨区域涉税事项报告表</w:t>
      </w:r>
      <w:r>
        <w:rPr>
          <w:rFonts w:hint="eastAsia"/>
        </w:rPr>
        <w:t>(</w:t>
      </w:r>
      <w:r>
        <w:rPr>
          <w:rFonts w:hint="eastAsia"/>
        </w:rPr>
        <w:t>略</w:t>
      </w:r>
      <w:r>
        <w:rPr>
          <w:rFonts w:hint="eastAsia"/>
        </w:rPr>
        <w:t>)</w:t>
      </w:r>
    </w:p>
    <w:p w:rsidR="00FE7DF6" w:rsidRDefault="00162274">
      <w:pPr>
        <w:spacing w:line="380" w:lineRule="exact"/>
        <w:ind w:firstLine="480"/>
        <w:contextualSpacing/>
        <w:jc w:val="left"/>
      </w:pPr>
      <w:r>
        <w:rPr>
          <w:rFonts w:hint="eastAsia"/>
        </w:rPr>
        <w:t xml:space="preserve">　　　　　</w:t>
      </w:r>
      <w:r>
        <w:rPr>
          <w:rFonts w:hint="eastAsia"/>
        </w:rPr>
        <w:t>2.</w:t>
      </w:r>
      <w:r>
        <w:rPr>
          <w:rFonts w:hint="eastAsia"/>
        </w:rPr>
        <w:t>经营地涉税事项反馈表（略）</w:t>
      </w:r>
    </w:p>
    <w:p w:rsidR="00FE7DF6" w:rsidRDefault="00FE7DF6">
      <w:pPr>
        <w:spacing w:line="380" w:lineRule="exact"/>
        <w:ind w:firstLine="480"/>
        <w:contextualSpacing/>
        <w:jc w:val="left"/>
      </w:pPr>
    </w:p>
    <w:p w:rsidR="00FE7DF6" w:rsidRDefault="00162274">
      <w:pPr>
        <w:pStyle w:val="3"/>
      </w:pPr>
      <w:bookmarkStart w:id="16" w:name="_Toc7222"/>
      <w:r>
        <w:rPr>
          <w:rFonts w:hint="eastAsia"/>
        </w:rPr>
        <w:t>国家税务总局关于进一步推进</w:t>
      </w:r>
      <w:r>
        <w:rPr>
          <w:rFonts w:hint="eastAsia"/>
        </w:rPr>
        <w:t xml:space="preserve"> </w:t>
      </w:r>
      <w:r>
        <w:rPr>
          <w:rFonts w:hint="eastAsia"/>
        </w:rPr>
        <w:br/>
      </w:r>
      <w:r>
        <w:rPr>
          <w:rFonts w:hint="eastAsia"/>
        </w:rPr>
        <w:t>“多证合一”工商共享信息运用工作的通知</w:t>
      </w:r>
      <w:bookmarkEnd w:id="16"/>
    </w:p>
    <w:p w:rsidR="00FE7DF6" w:rsidRDefault="00162274">
      <w:pPr>
        <w:pStyle w:val="4"/>
      </w:pPr>
      <w:bookmarkStart w:id="17" w:name="_Toc6404"/>
      <w:proofErr w:type="gramStart"/>
      <w:r>
        <w:rPr>
          <w:rFonts w:hint="eastAsia"/>
        </w:rPr>
        <w:t>税总函</w:t>
      </w:r>
      <w:proofErr w:type="gramEnd"/>
      <w:r>
        <w:rPr>
          <w:rFonts w:hint="eastAsia"/>
        </w:rPr>
        <w:t>〔2017〕402号  2017-9-15</w:t>
      </w:r>
      <w:bookmarkEnd w:id="17"/>
    </w:p>
    <w:p w:rsidR="00FE7DF6" w:rsidRDefault="00162274">
      <w:pPr>
        <w:spacing w:line="380" w:lineRule="exact"/>
        <w:ind w:firstLineChars="0"/>
        <w:contextualSpacing/>
        <w:jc w:val="left"/>
      </w:pPr>
      <w:r>
        <w:rPr>
          <w:rFonts w:hint="eastAsia"/>
        </w:rPr>
        <w:t>各省、自治区、直辖市和计划单列市国家税务局、地方税务局：</w:t>
      </w:r>
      <w:r>
        <w:rPr>
          <w:rFonts w:hint="eastAsia"/>
        </w:rPr>
        <w:br/>
      </w:r>
      <w:r>
        <w:rPr>
          <w:rFonts w:hint="eastAsia"/>
        </w:rPr>
        <w:t xml:space="preserve">　　根据《国家税务总局关于进一步深化税务系统“放管服”改革</w:t>
      </w:r>
      <w:r>
        <w:rPr>
          <w:rFonts w:hint="eastAsia"/>
        </w:rPr>
        <w:t xml:space="preserve"> </w:t>
      </w:r>
      <w:r>
        <w:rPr>
          <w:rFonts w:hint="eastAsia"/>
        </w:rPr>
        <w:t>优化税收环境的若干意见》（</w:t>
      </w:r>
      <w:proofErr w:type="gramStart"/>
      <w:r>
        <w:rPr>
          <w:rFonts w:hint="eastAsia"/>
        </w:rPr>
        <w:t>税总发</w:t>
      </w:r>
      <w:proofErr w:type="gramEnd"/>
      <w:r>
        <w:rPr>
          <w:rFonts w:hint="eastAsia"/>
        </w:rPr>
        <w:t>〔</w:t>
      </w:r>
      <w:r>
        <w:rPr>
          <w:rFonts w:hint="eastAsia"/>
        </w:rPr>
        <w:t>2017</w:t>
      </w:r>
      <w:r>
        <w:rPr>
          <w:rFonts w:hint="eastAsia"/>
        </w:rPr>
        <w:t>〕</w:t>
      </w:r>
      <w:r>
        <w:rPr>
          <w:rFonts w:hint="eastAsia"/>
        </w:rPr>
        <w:t>101</w:t>
      </w:r>
      <w:r>
        <w:rPr>
          <w:rFonts w:hint="eastAsia"/>
        </w:rPr>
        <w:t>号）要求，进一步巩固商</w:t>
      </w:r>
      <w:proofErr w:type="gramStart"/>
      <w:r>
        <w:rPr>
          <w:rFonts w:hint="eastAsia"/>
        </w:rPr>
        <w:t>事登记</w:t>
      </w:r>
      <w:proofErr w:type="gramEnd"/>
      <w:r>
        <w:rPr>
          <w:rFonts w:hint="eastAsia"/>
        </w:rPr>
        <w:t>制度改革成果，切实减轻纳税人和基层税务人员负担，现就进一步推进“多证合一”工商共享信息运用有关事项通知如下。</w:t>
      </w:r>
      <w:r>
        <w:rPr>
          <w:rFonts w:hint="eastAsia"/>
        </w:rPr>
        <w:br/>
      </w:r>
      <w:r>
        <w:rPr>
          <w:rFonts w:hint="eastAsia"/>
        </w:rPr>
        <w:t xml:space="preserve">　</w:t>
      </w:r>
      <w:r>
        <w:rPr>
          <w:rFonts w:hint="eastAsia"/>
          <w:b/>
          <w:bCs/>
        </w:rPr>
        <w:t xml:space="preserve">　一、加强与工商部门的信息共享协作</w:t>
      </w:r>
      <w:r>
        <w:rPr>
          <w:rFonts w:hint="eastAsia"/>
        </w:rPr>
        <w:br/>
      </w:r>
      <w:r>
        <w:rPr>
          <w:rFonts w:hint="eastAsia"/>
        </w:rPr>
        <w:lastRenderedPageBreak/>
        <w:t xml:space="preserve">　　（一）配合工商部门加强共享信息源头管理。各地税务机关要主动加强与工商部门的沟通，及时向工商部门通报工商共享信息的质量问题，积极协调工商部门增加相关信息录入校验规则，扩大登记信息共享范围，以满足税务机关工作需要。</w:t>
      </w:r>
      <w:r>
        <w:rPr>
          <w:rFonts w:hint="eastAsia"/>
        </w:rPr>
        <w:br/>
      </w:r>
      <w:r>
        <w:rPr>
          <w:rFonts w:hint="eastAsia"/>
        </w:rPr>
        <w:t xml:space="preserve">　　（二）提升信息传输质量。各地税务机关要结合当地实际，优化工商、税务信息共享方式方法，加强技术支撑，畅通信息共享渠道，提升信息共享频率。对信息传输中出现的失真、遗漏问题，要与相关部门共同核实，查找原因，及时解决。</w:t>
      </w:r>
      <w:r>
        <w:rPr>
          <w:rFonts w:hint="eastAsia"/>
        </w:rPr>
        <w:br/>
      </w:r>
      <w:r>
        <w:rPr>
          <w:rFonts w:hint="eastAsia"/>
        </w:rPr>
        <w:t xml:space="preserve">　　（三）建立对账核实机制。各地税务机关要健全并落实与工商部门之间的信息共享对账机制，加大对共享信息的核实力度，定期进行数据质量比对分析，及时解决信息共享不全、不准的问题，不断提高工商共享信息质量。</w:t>
      </w:r>
      <w:r>
        <w:rPr>
          <w:rFonts w:hint="eastAsia"/>
        </w:rPr>
        <w:br/>
      </w:r>
      <w:r>
        <w:rPr>
          <w:rFonts w:hint="eastAsia"/>
        </w:rPr>
        <w:t xml:space="preserve">　</w:t>
      </w:r>
      <w:r>
        <w:rPr>
          <w:rFonts w:hint="eastAsia"/>
          <w:b/>
          <w:bCs/>
        </w:rPr>
        <w:t xml:space="preserve">　二、优化登记信息补充采集</w:t>
      </w:r>
      <w:r>
        <w:rPr>
          <w:rFonts w:hint="eastAsia"/>
        </w:rPr>
        <w:br/>
      </w:r>
      <w:r>
        <w:rPr>
          <w:rFonts w:hint="eastAsia"/>
        </w:rPr>
        <w:t xml:space="preserve">　　（一）开展“多证合一”登记信息确认。新设立登记的企业和农民专业合作社（以下统称“企业”）首次办理涉税事宜时，税务机关依据工商部门共享的登记信息制作《“多证合一”登记信息确认表》（详见附件），提醒纳税人对其中不全的信息进行补充，对不准的信息进行更正，对需要更新的信息进行补正。</w:t>
      </w:r>
      <w:r>
        <w:rPr>
          <w:rFonts w:hint="eastAsia"/>
        </w:rPr>
        <w:br/>
      </w:r>
      <w:r>
        <w:rPr>
          <w:rFonts w:hint="eastAsia"/>
        </w:rPr>
        <w:t xml:space="preserve">　　（二）优化纳税人信息采集环节。《纳税人首次办税补充信息表》中的部分信息由金税三期</w:t>
      </w:r>
      <w:proofErr w:type="gramStart"/>
      <w:r>
        <w:rPr>
          <w:rFonts w:hint="eastAsia"/>
        </w:rPr>
        <w:t>核心征管</w:t>
      </w:r>
      <w:proofErr w:type="gramEnd"/>
      <w:r>
        <w:rPr>
          <w:rFonts w:hint="eastAsia"/>
        </w:rPr>
        <w:t>系统（以下简称“征管系统”）自动生成，部分信息合并至实名办税、财务会计制度备案等环节采集。对首次办理涉税事宜的新设立登记企业，税务机关不再要求其填报《纳税人首次办税补充信息表》。</w:t>
      </w:r>
      <w:r>
        <w:rPr>
          <w:rFonts w:hint="eastAsia"/>
        </w:rPr>
        <w:br/>
      </w:r>
      <w:r>
        <w:rPr>
          <w:rFonts w:hint="eastAsia"/>
        </w:rPr>
        <w:t xml:space="preserve">　　</w:t>
      </w:r>
      <w:r>
        <w:rPr>
          <w:rFonts w:hint="eastAsia"/>
          <w:b/>
          <w:bCs/>
        </w:rPr>
        <w:t>三、做好</w:t>
      </w:r>
      <w:proofErr w:type="gramStart"/>
      <w:r>
        <w:rPr>
          <w:rFonts w:hint="eastAsia"/>
          <w:b/>
          <w:bCs/>
        </w:rPr>
        <w:t>存量户</w:t>
      </w:r>
      <w:proofErr w:type="gramEnd"/>
      <w:r>
        <w:rPr>
          <w:rFonts w:hint="eastAsia"/>
          <w:b/>
          <w:bCs/>
        </w:rPr>
        <w:t>换发加载统一社会信用代码营业执照（以下简称“换照”）的税务衔接</w:t>
      </w:r>
      <w:r>
        <w:rPr>
          <w:rFonts w:hint="eastAsia"/>
        </w:rPr>
        <w:br/>
      </w:r>
      <w:r>
        <w:rPr>
          <w:rFonts w:hint="eastAsia"/>
        </w:rPr>
        <w:t xml:space="preserve">　　（一）实现工商部门换照信息自动传递。金税三期外部信息交换系统自动将纳税人在工商部门的换照信息传递至征管系统，各地税务机关通过征管系统相关模块，及时为纳税人办理相</w:t>
      </w:r>
      <w:proofErr w:type="gramStart"/>
      <w:r>
        <w:rPr>
          <w:rFonts w:hint="eastAsia"/>
        </w:rPr>
        <w:t>关涉税</w:t>
      </w:r>
      <w:proofErr w:type="gramEnd"/>
      <w:r>
        <w:rPr>
          <w:rFonts w:hint="eastAsia"/>
        </w:rPr>
        <w:t>业务。</w:t>
      </w:r>
      <w:r>
        <w:rPr>
          <w:rFonts w:hint="eastAsia"/>
        </w:rPr>
        <w:br/>
      </w:r>
      <w:r>
        <w:rPr>
          <w:rFonts w:hint="eastAsia"/>
        </w:rPr>
        <w:t xml:space="preserve">　　（二）提前引导纳税人办理换照涉税事宜。根据商</w:t>
      </w:r>
      <w:proofErr w:type="gramStart"/>
      <w:r>
        <w:rPr>
          <w:rFonts w:hint="eastAsia"/>
        </w:rPr>
        <w:t>事登记</w:t>
      </w:r>
      <w:proofErr w:type="gramEnd"/>
      <w:r>
        <w:rPr>
          <w:rFonts w:hint="eastAsia"/>
        </w:rPr>
        <w:t>制度改革相关文件要求，企业要在</w:t>
      </w:r>
      <w:r>
        <w:rPr>
          <w:rFonts w:hint="eastAsia"/>
        </w:rPr>
        <w:t>2017</w:t>
      </w:r>
      <w:r>
        <w:rPr>
          <w:rFonts w:hint="eastAsia"/>
        </w:rPr>
        <w:t>年底前完成换照，税务机关需要将纳税人识别号由原</w:t>
      </w:r>
      <w:r>
        <w:rPr>
          <w:rFonts w:hint="eastAsia"/>
        </w:rPr>
        <w:t>15</w:t>
      </w:r>
      <w:r>
        <w:rPr>
          <w:rFonts w:hint="eastAsia"/>
        </w:rPr>
        <w:t>位税务登记号变更为</w:t>
      </w:r>
      <w:r>
        <w:rPr>
          <w:rFonts w:hint="eastAsia"/>
        </w:rPr>
        <w:t>18</w:t>
      </w:r>
      <w:r>
        <w:rPr>
          <w:rFonts w:hint="eastAsia"/>
        </w:rPr>
        <w:t>位统一社会信用代码。各地税务机关要早计划、早安排，合理引导纳税人分批办理，做好纳税服务</w:t>
      </w:r>
      <w:r>
        <w:rPr>
          <w:rFonts w:hint="eastAsia"/>
        </w:rPr>
        <w:t>,</w:t>
      </w:r>
      <w:r>
        <w:rPr>
          <w:rFonts w:hint="eastAsia"/>
        </w:rPr>
        <w:t>避免因纳</w:t>
      </w:r>
      <w:r>
        <w:rPr>
          <w:rFonts w:hint="eastAsia"/>
        </w:rPr>
        <w:lastRenderedPageBreak/>
        <w:t>税人识别号变更涉及的税控系统、实时缴税协议等业务处理导致办税服务厅拥堵。</w:t>
      </w:r>
      <w:r>
        <w:rPr>
          <w:rFonts w:hint="eastAsia"/>
        </w:rPr>
        <w:br/>
      </w:r>
      <w:r>
        <w:rPr>
          <w:rFonts w:hint="eastAsia"/>
        </w:rPr>
        <w:t xml:space="preserve">　　</w:t>
      </w:r>
      <w:r>
        <w:rPr>
          <w:rFonts w:hint="eastAsia"/>
          <w:b/>
          <w:bCs/>
        </w:rPr>
        <w:t>四、工作要求</w:t>
      </w:r>
      <w:r>
        <w:rPr>
          <w:rFonts w:hint="eastAsia"/>
        </w:rPr>
        <w:br/>
      </w:r>
      <w:r>
        <w:rPr>
          <w:rFonts w:hint="eastAsia"/>
        </w:rPr>
        <w:t xml:space="preserve">　　（一）高度重视。强化“多证合一”工商共享信息运用，是</w:t>
      </w:r>
      <w:proofErr w:type="gramStart"/>
      <w:r>
        <w:rPr>
          <w:rFonts w:hint="eastAsia"/>
        </w:rPr>
        <w:t>推进商事登记</w:t>
      </w:r>
      <w:proofErr w:type="gramEnd"/>
      <w:r>
        <w:rPr>
          <w:rFonts w:hint="eastAsia"/>
        </w:rPr>
        <w:t>制度改革，便利市场主体，激发市场活力的重要前提。各地税务机关要高度重视，切实提高相关工作的积极性、主动性和创造性，实现信息“多跑路”，纳税人“少跑腿”，保障各项改革措施落地。</w:t>
      </w:r>
      <w:r>
        <w:rPr>
          <w:rFonts w:hint="eastAsia"/>
        </w:rPr>
        <w:br/>
      </w:r>
      <w:r>
        <w:rPr>
          <w:rFonts w:hint="eastAsia"/>
        </w:rPr>
        <w:t xml:space="preserve">　　（二）加强领导。各地税务机关分管领导要亲自安排部署、组织推动，</w:t>
      </w:r>
      <w:proofErr w:type="gramStart"/>
      <w:r>
        <w:rPr>
          <w:rFonts w:hint="eastAsia"/>
        </w:rPr>
        <w:t>明确部门</w:t>
      </w:r>
      <w:proofErr w:type="gramEnd"/>
      <w:r>
        <w:rPr>
          <w:rFonts w:hint="eastAsia"/>
        </w:rPr>
        <w:t>职责，做好政策宣传、业务培训、系统改造、</w:t>
      </w:r>
      <w:proofErr w:type="gramStart"/>
      <w:r>
        <w:rPr>
          <w:rFonts w:hint="eastAsia"/>
        </w:rPr>
        <w:t>岗责设置</w:t>
      </w:r>
      <w:proofErr w:type="gramEnd"/>
      <w:r>
        <w:rPr>
          <w:rFonts w:hint="eastAsia"/>
        </w:rPr>
        <w:t>等相关工作。国税局、地税局要加强沟通联系和协调配合，共同推进。</w:t>
      </w:r>
      <w:r>
        <w:rPr>
          <w:rFonts w:hint="eastAsia"/>
        </w:rPr>
        <w:br/>
      </w:r>
      <w:r>
        <w:rPr>
          <w:rFonts w:hint="eastAsia"/>
        </w:rPr>
        <w:t xml:space="preserve">　　（三）跟踪问效。各地税务机关要细化工作方案，明确责任主体，综合运用督察督办、绩效管理等方法，确保工作落到实处、取得实效。</w:t>
      </w:r>
      <w:r>
        <w:rPr>
          <w:rFonts w:hint="eastAsia"/>
        </w:rPr>
        <w:br/>
      </w:r>
      <w:r>
        <w:rPr>
          <w:rFonts w:hint="eastAsia"/>
        </w:rPr>
        <w:t xml:space="preserve">　　本通知自</w:t>
      </w:r>
      <w:r>
        <w:rPr>
          <w:rFonts w:hint="eastAsia"/>
        </w:rPr>
        <w:t>2017</w:t>
      </w:r>
      <w:r>
        <w:rPr>
          <w:rFonts w:hint="eastAsia"/>
        </w:rPr>
        <w:t>年</w:t>
      </w:r>
      <w:r>
        <w:rPr>
          <w:rFonts w:hint="eastAsia"/>
        </w:rPr>
        <w:t>11</w:t>
      </w:r>
      <w:r>
        <w:rPr>
          <w:rFonts w:hint="eastAsia"/>
        </w:rPr>
        <w:t>月</w:t>
      </w:r>
      <w:r>
        <w:rPr>
          <w:rFonts w:hint="eastAsia"/>
        </w:rPr>
        <w:t>1</w:t>
      </w:r>
      <w:r>
        <w:rPr>
          <w:rFonts w:hint="eastAsia"/>
        </w:rPr>
        <w:t>日施行。税务总局之前发布的文件与本通知规定不一致的，依照本通知规定执行。</w:t>
      </w:r>
    </w:p>
    <w:p w:rsidR="00FE7DF6" w:rsidRDefault="00162274">
      <w:pPr>
        <w:spacing w:line="380" w:lineRule="exact"/>
        <w:ind w:firstLine="480"/>
        <w:contextualSpacing/>
        <w:jc w:val="left"/>
      </w:pPr>
      <w:r>
        <w:rPr>
          <w:rFonts w:hint="eastAsia"/>
        </w:rPr>
        <w:t xml:space="preserve">　　附件：“多证合一”登记信息确认表（略）</w:t>
      </w:r>
    </w:p>
    <w:p w:rsidR="00FE7DF6" w:rsidRDefault="00FE7DF6">
      <w:pPr>
        <w:spacing w:line="380" w:lineRule="exact"/>
        <w:ind w:firstLine="480"/>
        <w:contextualSpacing/>
        <w:jc w:val="left"/>
      </w:pPr>
    </w:p>
    <w:p w:rsidR="00FE7DF6" w:rsidRDefault="00FE7DF6">
      <w:pPr>
        <w:spacing w:line="380" w:lineRule="exact"/>
        <w:ind w:firstLine="480"/>
        <w:contextualSpacing/>
        <w:jc w:val="left"/>
      </w:pPr>
    </w:p>
    <w:p w:rsidR="00FE7DF6" w:rsidRDefault="00162274">
      <w:pPr>
        <w:widowControl w:val="0"/>
        <w:spacing w:line="380" w:lineRule="exact"/>
        <w:ind w:firstLineChars="0" w:firstLine="0"/>
        <w:contextualSpacing/>
        <w:rPr>
          <w:rFonts w:ascii="华文行楷" w:eastAsia="华文行楷" w:hAnsi="宋体" w:cs="宋体"/>
          <w:b/>
          <w:kern w:val="0"/>
          <w:sz w:val="32"/>
          <w:szCs w:val="32"/>
          <w:bdr w:val="single" w:sz="4" w:space="0" w:color="auto"/>
        </w:rPr>
      </w:pPr>
      <w:r>
        <w:rPr>
          <w:rFonts w:ascii="华文行楷" w:eastAsia="华文行楷" w:hAnsi="宋体" w:cs="宋体"/>
          <w:b/>
          <w:kern w:val="0"/>
          <w:sz w:val="32"/>
          <w:szCs w:val="32"/>
          <w:bdr w:val="single" w:sz="4" w:space="0" w:color="auto"/>
        </w:rPr>
        <w:t>相关</w:t>
      </w:r>
      <w:r>
        <w:rPr>
          <w:rFonts w:ascii="华文行楷" w:eastAsia="华文行楷" w:hAnsi="宋体" w:cs="宋体" w:hint="eastAsia"/>
          <w:b/>
          <w:kern w:val="0"/>
          <w:sz w:val="32"/>
          <w:szCs w:val="32"/>
          <w:bdr w:val="single" w:sz="4" w:space="0" w:color="auto"/>
        </w:rPr>
        <w:t>法规</w:t>
      </w:r>
    </w:p>
    <w:p w:rsidR="00FE7DF6" w:rsidRDefault="00FE7DF6">
      <w:pPr>
        <w:spacing w:line="380" w:lineRule="exact"/>
        <w:ind w:firstLineChars="0" w:firstLine="0"/>
        <w:contextualSpacing/>
        <w:rPr>
          <w:rFonts w:eastAsia="黑体"/>
          <w:b/>
          <w:sz w:val="28"/>
        </w:rPr>
      </w:pPr>
    </w:p>
    <w:p w:rsidR="00FE7DF6" w:rsidRDefault="00162274">
      <w:pPr>
        <w:pStyle w:val="3"/>
      </w:pPr>
      <w:bookmarkStart w:id="18" w:name="_Toc22261"/>
      <w:r>
        <w:t>财政部</w:t>
      </w:r>
      <w:r>
        <w:t xml:space="preserve">  </w:t>
      </w:r>
      <w:r>
        <w:t>人力资源社会保障部</w:t>
      </w:r>
      <w:r>
        <w:t xml:space="preserve">  </w:t>
      </w:r>
      <w:r>
        <w:t>国家卫生计生委</w:t>
      </w:r>
      <w:r>
        <w:br/>
      </w:r>
      <w:r>
        <w:rPr>
          <w:bCs/>
        </w:rPr>
        <w:t>关于印发《社会保险基金财务制度》的通知</w:t>
      </w:r>
      <w:bookmarkEnd w:id="18"/>
    </w:p>
    <w:p w:rsidR="00FE7DF6" w:rsidRDefault="00162274">
      <w:pPr>
        <w:pStyle w:val="4"/>
        <w:rPr>
          <w:rFonts w:eastAsia="黑体"/>
          <w:b/>
          <w:sz w:val="28"/>
        </w:rPr>
      </w:pPr>
      <w:bookmarkStart w:id="19" w:name="_Toc31359"/>
      <w:proofErr w:type="gramStart"/>
      <w:r>
        <w:t>财社〔2017〕</w:t>
      </w:r>
      <w:proofErr w:type="gramEnd"/>
      <w:r>
        <w:t>144号　2017</w:t>
      </w:r>
      <w:r>
        <w:rPr>
          <w:rFonts w:hint="eastAsia"/>
        </w:rPr>
        <w:t>-</w:t>
      </w:r>
      <w:r>
        <w:t>8</w:t>
      </w:r>
      <w:r>
        <w:rPr>
          <w:rFonts w:hint="eastAsia"/>
        </w:rPr>
        <w:t>-</w:t>
      </w:r>
      <w:r>
        <w:t>22</w:t>
      </w:r>
      <w:bookmarkEnd w:id="19"/>
    </w:p>
    <w:p w:rsidR="00FE7DF6" w:rsidRDefault="00162274">
      <w:pPr>
        <w:spacing w:line="380" w:lineRule="exact"/>
        <w:ind w:firstLine="480"/>
        <w:contextualSpacing/>
        <w:jc w:val="left"/>
      </w:pPr>
      <w:r>
        <w:t>各省、自治区、直辖市、计划单列市财政厅（局）、人力资源社会保障厅（局）、卫生计生委，新疆生产建设兵团财务局、人力资源社会保障局：</w:t>
      </w:r>
    </w:p>
    <w:p w:rsidR="00FE7DF6" w:rsidRDefault="00162274">
      <w:pPr>
        <w:spacing w:line="380" w:lineRule="exact"/>
        <w:ind w:firstLine="480"/>
        <w:contextualSpacing/>
        <w:jc w:val="left"/>
      </w:pPr>
      <w:r>
        <w:t>为进一步规范社会保险基金财务管理行为，加强基金收支的监督管理，根据《中华人民共和国社会保险法》、《中华人民共和国预算法》、《中华人民共和国劳动法》等相关法律法规，财政部会同人力资源社会保障部、国家卫生计生委等有关部门对《关于印发</w:t>
      </w:r>
      <w:r>
        <w:t>&lt;</w:t>
      </w:r>
      <w:r>
        <w:t>社会保险基金财务制度</w:t>
      </w:r>
      <w:r>
        <w:t>&gt;</w:t>
      </w:r>
      <w:r>
        <w:t>的通知》</w:t>
      </w:r>
      <w:r>
        <w:lastRenderedPageBreak/>
        <w:t>（财社字〔</w:t>
      </w:r>
      <w:r>
        <w:t>1999</w:t>
      </w:r>
      <w:r>
        <w:t>〕</w:t>
      </w:r>
      <w:r>
        <w:t>60</w:t>
      </w:r>
      <w:r>
        <w:t>号）进行了修订，经商中国人民银行、国家税务总局同意，现印发给你们，请认真贯彻执行。就有关问题通知如下：</w:t>
      </w:r>
    </w:p>
    <w:p w:rsidR="00FE7DF6" w:rsidRDefault="00162274">
      <w:pPr>
        <w:spacing w:line="380" w:lineRule="exact"/>
        <w:ind w:firstLine="480"/>
        <w:contextualSpacing/>
        <w:jc w:val="left"/>
      </w:pPr>
      <w:r>
        <w:t>一、各地区要根据修订后的《社会保险基金财务制度》要求，结合本地实际情况研究制定贯彻落实工作方案，确保社会保险基金财务管理工作正常运行。</w:t>
      </w:r>
    </w:p>
    <w:p w:rsidR="00FE7DF6" w:rsidRDefault="00162274">
      <w:pPr>
        <w:spacing w:line="380" w:lineRule="exact"/>
        <w:ind w:firstLine="480"/>
        <w:contextualSpacing/>
        <w:jc w:val="left"/>
      </w:pPr>
      <w:r>
        <w:t>二、各地区财政部门、社会保险行政部门及经办机构要密切配合，做好新财务制度的培训工作。</w:t>
      </w:r>
    </w:p>
    <w:p w:rsidR="00FE7DF6" w:rsidRDefault="00162274">
      <w:pPr>
        <w:spacing w:line="380" w:lineRule="exact"/>
        <w:ind w:firstLine="480"/>
        <w:contextualSpacing/>
        <w:jc w:val="left"/>
      </w:pPr>
      <w:r>
        <w:t>三、各地区要积极稳妥地做好新旧财务制度的衔接工作，执行中反映出来的问题，请及时反馈我们。</w:t>
      </w:r>
    </w:p>
    <w:p w:rsidR="00FE7DF6" w:rsidRDefault="00162274">
      <w:pPr>
        <w:spacing w:line="380" w:lineRule="exact"/>
        <w:ind w:firstLine="480"/>
        <w:contextualSpacing/>
        <w:jc w:val="left"/>
      </w:pPr>
      <w:r>
        <w:t>附件：社会保险基金财务制度</w:t>
      </w:r>
      <w:r>
        <w:rPr>
          <w:rFonts w:hint="eastAsia"/>
        </w:rPr>
        <w:t>（略）</w:t>
      </w:r>
    </w:p>
    <w:p w:rsidR="00FE7DF6" w:rsidRDefault="00FE7DF6">
      <w:pPr>
        <w:widowControl w:val="0"/>
        <w:spacing w:line="380" w:lineRule="exact"/>
        <w:ind w:firstLineChars="0" w:firstLine="0"/>
        <w:contextualSpacing/>
        <w:rPr>
          <w:rFonts w:ascii="华文行楷" w:eastAsia="华文行楷" w:hAnsi="宋体" w:cs="宋体"/>
          <w:b/>
          <w:kern w:val="0"/>
          <w:sz w:val="32"/>
          <w:szCs w:val="32"/>
          <w:bdr w:val="single" w:sz="4" w:space="0" w:color="auto"/>
        </w:rPr>
      </w:pPr>
    </w:p>
    <w:p w:rsidR="00FE7DF6" w:rsidRDefault="00FE7DF6">
      <w:pPr>
        <w:widowControl w:val="0"/>
        <w:spacing w:line="380" w:lineRule="exact"/>
        <w:ind w:firstLineChars="0" w:firstLine="0"/>
        <w:contextualSpacing/>
        <w:rPr>
          <w:rFonts w:ascii="华文行楷" w:eastAsia="华文行楷" w:hAnsi="宋体" w:cs="宋体"/>
          <w:b/>
          <w:kern w:val="0"/>
          <w:sz w:val="32"/>
          <w:szCs w:val="32"/>
          <w:bdr w:val="single" w:sz="4" w:space="0" w:color="auto"/>
        </w:rPr>
      </w:pPr>
    </w:p>
    <w:p w:rsidR="00FE7DF6" w:rsidRDefault="00162274">
      <w:pPr>
        <w:widowControl w:val="0"/>
        <w:spacing w:line="380" w:lineRule="exact"/>
        <w:ind w:firstLineChars="0" w:firstLine="0"/>
        <w:contextualSpacing/>
        <w:rPr>
          <w:rFonts w:ascii="华文行楷" w:eastAsia="华文行楷" w:hAnsi="宋体" w:cs="宋体"/>
          <w:b/>
          <w:kern w:val="0"/>
          <w:sz w:val="32"/>
          <w:szCs w:val="32"/>
          <w:bdr w:val="single" w:sz="4" w:space="0" w:color="auto"/>
        </w:rPr>
      </w:pPr>
      <w:r>
        <w:rPr>
          <w:rFonts w:ascii="华文行楷" w:eastAsia="华文行楷" w:hAnsi="宋体" w:cs="宋体"/>
          <w:b/>
          <w:kern w:val="0"/>
          <w:sz w:val="32"/>
          <w:szCs w:val="32"/>
          <w:bdr w:val="single" w:sz="4" w:space="0" w:color="auto"/>
        </w:rPr>
        <w:t>政策解读</w:t>
      </w:r>
    </w:p>
    <w:p w:rsidR="00FE7DF6" w:rsidRDefault="00FE7DF6" w:rsidP="002550D7">
      <w:pPr>
        <w:tabs>
          <w:tab w:val="left" w:pos="720"/>
        </w:tabs>
        <w:spacing w:line="380" w:lineRule="exact"/>
        <w:ind w:firstLineChars="298" w:firstLine="955"/>
        <w:contextualSpacing/>
        <w:rPr>
          <w:rFonts w:ascii="华文行楷" w:eastAsia="华文行楷" w:hAnsi="宋体" w:cs="宋体"/>
          <w:b/>
          <w:kern w:val="0"/>
          <w:sz w:val="32"/>
          <w:szCs w:val="32"/>
          <w:bdr w:val="single" w:sz="4" w:space="0" w:color="auto"/>
        </w:rPr>
      </w:pPr>
    </w:p>
    <w:p w:rsidR="00FE7DF6" w:rsidRDefault="00162274">
      <w:pPr>
        <w:pStyle w:val="3"/>
      </w:pPr>
      <w:bookmarkStart w:id="20" w:name="_Toc18557"/>
      <w:r>
        <w:rPr>
          <w:rFonts w:hint="eastAsia"/>
        </w:rPr>
        <w:t>关于《国家税务总局关于全民所有制企业公司制改制</w:t>
      </w:r>
      <w:r>
        <w:rPr>
          <w:rFonts w:hint="eastAsia"/>
        </w:rPr>
        <w:br/>
      </w:r>
      <w:r>
        <w:rPr>
          <w:rFonts w:hint="eastAsia"/>
        </w:rPr>
        <w:t>企业所得税处理问题的公告》的解读</w:t>
      </w:r>
      <w:bookmarkEnd w:id="20"/>
    </w:p>
    <w:p w:rsidR="00FE7DF6" w:rsidRDefault="00162274">
      <w:pPr>
        <w:pStyle w:val="4"/>
      </w:pPr>
      <w:bookmarkStart w:id="21" w:name="_Toc675"/>
      <w:r>
        <w:rPr>
          <w:rFonts w:hint="eastAsia"/>
        </w:rPr>
        <w:t>来源：国家税务总局办公厅  2017-09-28</w:t>
      </w:r>
      <w:bookmarkEnd w:id="21"/>
    </w:p>
    <w:p w:rsidR="00FE7DF6" w:rsidRDefault="00162274">
      <w:pPr>
        <w:tabs>
          <w:tab w:val="left" w:pos="720"/>
        </w:tabs>
        <w:spacing w:line="380" w:lineRule="exact"/>
        <w:ind w:firstLine="480"/>
        <w:contextualSpacing/>
      </w:pPr>
      <w:r>
        <w:rPr>
          <w:rFonts w:hint="eastAsia"/>
        </w:rPr>
        <w:t>为解决全民所有制企业公司制改制过程中，资产评估增值如何进行企业所得税处理问题，经商财政部，国家税务总局发布了《关于全民所有制企业公司制改制企业所得税处理问题的公告》（以下简称《公告》）。为便于纳税人和税务机关理解和适用，现对《公告》解读如下：</w:t>
      </w:r>
      <w:r>
        <w:rPr>
          <w:rFonts w:hint="eastAsia"/>
        </w:rPr>
        <w:br/>
      </w:r>
      <w:r>
        <w:rPr>
          <w:rFonts w:hint="eastAsia"/>
          <w:b/>
          <w:bCs/>
        </w:rPr>
        <w:t xml:space="preserve">　　一、《公告》意义</w:t>
      </w:r>
      <w:r>
        <w:rPr>
          <w:rFonts w:hint="eastAsia"/>
          <w:b/>
          <w:bCs/>
        </w:rPr>
        <w:br/>
      </w:r>
      <w:r>
        <w:rPr>
          <w:rFonts w:hint="eastAsia"/>
        </w:rPr>
        <w:t xml:space="preserve">　　《中共中央</w:t>
      </w:r>
      <w:r>
        <w:rPr>
          <w:rFonts w:hint="eastAsia"/>
        </w:rPr>
        <w:t xml:space="preserve"> </w:t>
      </w:r>
      <w:r>
        <w:rPr>
          <w:rFonts w:hint="eastAsia"/>
        </w:rPr>
        <w:t>国务院关于深化国有企业改革的指导意见》提出，到</w:t>
      </w:r>
      <w:r>
        <w:rPr>
          <w:rFonts w:hint="eastAsia"/>
        </w:rPr>
        <w:t>2020</w:t>
      </w:r>
      <w:r>
        <w:rPr>
          <w:rFonts w:hint="eastAsia"/>
        </w:rPr>
        <w:t>年，在国有企业改革重要领域和关键环节取得决定性成果。中央经济工作会议和《政府工作报告》要求，到</w:t>
      </w:r>
      <w:r>
        <w:rPr>
          <w:rFonts w:hint="eastAsia"/>
        </w:rPr>
        <w:t>2017</w:t>
      </w:r>
      <w:r>
        <w:rPr>
          <w:rFonts w:hint="eastAsia"/>
        </w:rPr>
        <w:t>年底基本完成国有企业公司制改制工作。为加快推动中央企业完成公司制改制，国务院办公厅</w:t>
      </w:r>
      <w:r>
        <w:rPr>
          <w:rFonts w:hint="eastAsia"/>
        </w:rPr>
        <w:t>2017</w:t>
      </w:r>
      <w:r>
        <w:rPr>
          <w:rFonts w:hint="eastAsia"/>
        </w:rPr>
        <w:t>年</w:t>
      </w:r>
      <w:r>
        <w:rPr>
          <w:rFonts w:hint="eastAsia"/>
        </w:rPr>
        <w:t>7</w:t>
      </w:r>
      <w:r>
        <w:rPr>
          <w:rFonts w:hint="eastAsia"/>
        </w:rPr>
        <w:t>月</w:t>
      </w:r>
      <w:r>
        <w:rPr>
          <w:rFonts w:hint="eastAsia"/>
        </w:rPr>
        <w:t>18</w:t>
      </w:r>
      <w:r>
        <w:rPr>
          <w:rFonts w:hint="eastAsia"/>
        </w:rPr>
        <w:t>日印发了《中央企业公司制改制工作实施方案》（国办发〔</w:t>
      </w:r>
      <w:r>
        <w:rPr>
          <w:rFonts w:hint="eastAsia"/>
        </w:rPr>
        <w:t>2017</w:t>
      </w:r>
      <w:r>
        <w:rPr>
          <w:rFonts w:hint="eastAsia"/>
        </w:rPr>
        <w:t>〕</w:t>
      </w:r>
      <w:r>
        <w:rPr>
          <w:rFonts w:hint="eastAsia"/>
        </w:rPr>
        <w:t>69</w:t>
      </w:r>
      <w:r>
        <w:rPr>
          <w:rFonts w:hint="eastAsia"/>
        </w:rPr>
        <w:t>号），要求</w:t>
      </w:r>
      <w:r>
        <w:rPr>
          <w:rFonts w:hint="eastAsia"/>
        </w:rPr>
        <w:t>2017</w:t>
      </w:r>
      <w:r>
        <w:rPr>
          <w:rFonts w:hint="eastAsia"/>
        </w:rPr>
        <w:t>年底前，中央企业全部改制为有限责任公司或者股份有限公司，加快形成有效制衡的公司法人治理结构和灵活高效的市场化经营机制。为了贯彻落实上述文件精神，进一步发挥税收对国企改革的推动作用，</w:t>
      </w:r>
      <w:r>
        <w:rPr>
          <w:rFonts w:hint="eastAsia"/>
        </w:rPr>
        <w:lastRenderedPageBreak/>
        <w:t>有必要对全民所有制企业公司制改制企业所得税问题进行明确。《公告》明确此类改制中评估增值的资产递延纳税待遇，可以有效解决企业改制纳税难题，有利于国企改革顺利推进。</w:t>
      </w:r>
      <w:r>
        <w:rPr>
          <w:rFonts w:hint="eastAsia"/>
        </w:rPr>
        <w:br/>
      </w:r>
      <w:r>
        <w:rPr>
          <w:rFonts w:hint="eastAsia"/>
        </w:rPr>
        <w:t xml:space="preserve">　　</w:t>
      </w:r>
      <w:r>
        <w:rPr>
          <w:rFonts w:hint="eastAsia"/>
          <w:b/>
          <w:bCs/>
        </w:rPr>
        <w:t>二、《公告》主要内容</w:t>
      </w:r>
      <w:r>
        <w:rPr>
          <w:rFonts w:hint="eastAsia"/>
          <w:b/>
          <w:bCs/>
        </w:rPr>
        <w:br/>
      </w:r>
      <w:r>
        <w:rPr>
          <w:rFonts w:hint="eastAsia"/>
        </w:rPr>
        <w:t xml:space="preserve">　　对全民所有制企业公司制改制的，《公告》明确了以下企业所得税处理事项：</w:t>
      </w:r>
      <w:r>
        <w:rPr>
          <w:rFonts w:hint="eastAsia"/>
        </w:rPr>
        <w:br/>
      </w:r>
      <w:r>
        <w:rPr>
          <w:rFonts w:hint="eastAsia"/>
        </w:rPr>
        <w:t xml:space="preserve">　　（一）明确了改制中资产评估增值不计入应纳税所得额。由于改制前后，资产</w:t>
      </w:r>
      <w:proofErr w:type="gramStart"/>
      <w:r>
        <w:rPr>
          <w:rFonts w:hint="eastAsia"/>
        </w:rPr>
        <w:t>权属未</w:t>
      </w:r>
      <w:proofErr w:type="gramEnd"/>
      <w:r>
        <w:rPr>
          <w:rFonts w:hint="eastAsia"/>
        </w:rPr>
        <w:t>发生变化，也没有发生实际交易，资产评估增值不计入当期所得，可以有效减轻改制企业的负担。同时规定，改制后评估增值的资产，其计税基础应与原有计税基础保持一致。资产增值部分享受了递延纳税待遇，其资产增值部分对应的折旧或者摊销也不得在税前扣除。</w:t>
      </w:r>
      <w:r>
        <w:rPr>
          <w:rFonts w:hint="eastAsia"/>
        </w:rPr>
        <w:br/>
      </w:r>
      <w:r>
        <w:rPr>
          <w:rFonts w:hint="eastAsia"/>
        </w:rPr>
        <w:t xml:space="preserve">　　（二）明确了《公告》适用的改制情形。本公告仅指由一个全民所有制企业整体改制为一个公司的形式。全民所有制企业改制为国有独资公司或者国有全资子公司，改制前后股东没有变化，财产权属没有变化，都是</w:t>
      </w:r>
      <w:r>
        <w:rPr>
          <w:rFonts w:hint="eastAsia"/>
        </w:rPr>
        <w:t>100%</w:t>
      </w:r>
      <w:r>
        <w:rPr>
          <w:rFonts w:hint="eastAsia"/>
        </w:rPr>
        <w:t>国家所有，满足法律形式的简单改变，适用本《公告》。改制为国有控股公司等其他情形的，则不适用本《公告》。</w:t>
      </w:r>
      <w:r>
        <w:rPr>
          <w:rFonts w:hint="eastAsia"/>
        </w:rPr>
        <w:br/>
      </w:r>
      <w:r>
        <w:rPr>
          <w:rFonts w:hint="eastAsia"/>
        </w:rPr>
        <w:t xml:space="preserve">　　（三）明确了后续管理事项。依据本《公告》进行企业所得税处理，会产生一定的税会差异，为了保证税务机关有效实施后续管理，按照“放管服”要求，《公告》规定改制后的公司应将评估增值相关资料留存备查，以减少企业涉税资料报送，减轻企业负担。</w:t>
      </w:r>
      <w:r>
        <w:rPr>
          <w:rFonts w:hint="eastAsia"/>
        </w:rPr>
        <w:br/>
      </w:r>
      <w:r>
        <w:rPr>
          <w:rFonts w:hint="eastAsia"/>
        </w:rPr>
        <w:t xml:space="preserve">　　（四）明确了《公告》时间效力。《公告》适用于</w:t>
      </w:r>
      <w:r>
        <w:rPr>
          <w:rFonts w:hint="eastAsia"/>
        </w:rPr>
        <w:t>2017</w:t>
      </w:r>
      <w:r>
        <w:rPr>
          <w:rFonts w:hint="eastAsia"/>
        </w:rPr>
        <w:t>年度及以后年度企业所得税汇算清缴。此前发生的全民所有制企业公司制改制，尚未进行企业所得税处理的，可依照本公告处理。</w:t>
      </w:r>
    </w:p>
    <w:p w:rsidR="00FE7DF6" w:rsidRDefault="00FE7DF6">
      <w:pPr>
        <w:tabs>
          <w:tab w:val="left" w:pos="720"/>
        </w:tabs>
        <w:spacing w:line="380" w:lineRule="exact"/>
        <w:ind w:firstLine="480"/>
        <w:contextualSpacing/>
      </w:pPr>
    </w:p>
    <w:p w:rsidR="00FE7DF6" w:rsidRDefault="00162274">
      <w:pPr>
        <w:pStyle w:val="3"/>
      </w:pPr>
      <w:bookmarkStart w:id="22" w:name="_Toc15874"/>
      <w:r>
        <w:rPr>
          <w:rFonts w:hint="eastAsia"/>
        </w:rPr>
        <w:t>关于《国家税务总局</w:t>
      </w:r>
      <w:r>
        <w:rPr>
          <w:rFonts w:hint="eastAsia"/>
        </w:rPr>
        <w:br/>
      </w:r>
      <w:r>
        <w:rPr>
          <w:rFonts w:hint="eastAsia"/>
        </w:rPr>
        <w:t>关于修订税务行政处罚（简易）执法文书的公告》的解读</w:t>
      </w:r>
      <w:bookmarkEnd w:id="22"/>
    </w:p>
    <w:p w:rsidR="00FE7DF6" w:rsidRDefault="00162274">
      <w:pPr>
        <w:pStyle w:val="4"/>
      </w:pPr>
      <w:bookmarkStart w:id="23" w:name="_Toc3041"/>
      <w:r>
        <w:rPr>
          <w:rFonts w:hint="eastAsia"/>
        </w:rPr>
        <w:t>来源：国家税务总局办公厅  2017-09-28</w:t>
      </w:r>
      <w:bookmarkEnd w:id="23"/>
    </w:p>
    <w:p w:rsidR="00FE7DF6" w:rsidRDefault="00162274">
      <w:pPr>
        <w:tabs>
          <w:tab w:val="left" w:pos="720"/>
        </w:tabs>
        <w:spacing w:line="380" w:lineRule="exact"/>
        <w:ind w:firstLineChars="49" w:firstLine="118"/>
        <w:contextualSpacing/>
      </w:pPr>
      <w:r>
        <w:rPr>
          <w:rFonts w:hint="eastAsia"/>
          <w:b/>
          <w:bCs/>
        </w:rPr>
        <w:t xml:space="preserve">　一、修订《税务行政处罚决定书（简易）》的背景是什么？</w:t>
      </w:r>
      <w:r>
        <w:rPr>
          <w:rFonts w:hint="eastAsia"/>
          <w:b/>
          <w:bCs/>
        </w:rPr>
        <w:br/>
      </w:r>
      <w:r>
        <w:rPr>
          <w:rFonts w:hint="eastAsia"/>
        </w:rPr>
        <w:t xml:space="preserve">　　依据行政处罚法规定，税务机关对违法事实确凿并有法定依据，对公民处以</w:t>
      </w:r>
      <w:r>
        <w:rPr>
          <w:rFonts w:hint="eastAsia"/>
        </w:rPr>
        <w:t>50</w:t>
      </w:r>
      <w:r>
        <w:rPr>
          <w:rFonts w:hint="eastAsia"/>
        </w:rPr>
        <w:t>元以下、对法人或者其他组织处以</w:t>
      </w:r>
      <w:r>
        <w:rPr>
          <w:rFonts w:hint="eastAsia"/>
        </w:rPr>
        <w:t>1000</w:t>
      </w:r>
      <w:r>
        <w:rPr>
          <w:rFonts w:hint="eastAsia"/>
        </w:rPr>
        <w:t>元以下罚款或者警告的，</w:t>
      </w:r>
      <w:r>
        <w:rPr>
          <w:rFonts w:hint="eastAsia"/>
        </w:rPr>
        <w:lastRenderedPageBreak/>
        <w:t>可以当场</w:t>
      </w:r>
      <w:proofErr w:type="gramStart"/>
      <w:r>
        <w:rPr>
          <w:rFonts w:hint="eastAsia"/>
        </w:rPr>
        <w:t>作出</w:t>
      </w:r>
      <w:proofErr w:type="gramEnd"/>
      <w:r>
        <w:rPr>
          <w:rFonts w:hint="eastAsia"/>
        </w:rPr>
        <w:t>行政处罚决定，即适用简易程序。</w:t>
      </w:r>
      <w:r>
        <w:rPr>
          <w:rFonts w:hint="eastAsia"/>
        </w:rPr>
        <w:br/>
      </w:r>
      <w:r>
        <w:rPr>
          <w:rFonts w:hint="eastAsia"/>
        </w:rPr>
        <w:t xml:space="preserve">　　近期部分地区反映，在简易处罚程序中，税务机关需要填写《陈述申辩笔录》，然后出具《税务行政处罚决定书（简易）》，再制作《税务文书送达回证》。程序复杂，文书较多，一定程度上影响了办税效率。为了进一步减轻纳税人办税负担，提高办税便利化程度，我们修订了《税务行政处罚决定书（简易）》。</w:t>
      </w:r>
      <w:r>
        <w:rPr>
          <w:rFonts w:hint="eastAsia"/>
        </w:rPr>
        <w:br/>
      </w:r>
      <w:r>
        <w:rPr>
          <w:rFonts w:hint="eastAsia"/>
        </w:rPr>
        <w:t xml:space="preserve">　</w:t>
      </w:r>
      <w:r>
        <w:rPr>
          <w:rFonts w:hint="eastAsia"/>
          <w:b/>
          <w:bCs/>
        </w:rPr>
        <w:t xml:space="preserve">　二、修订的主要内容是什么？</w:t>
      </w:r>
      <w:r>
        <w:rPr>
          <w:rFonts w:hint="eastAsia"/>
          <w:b/>
          <w:bCs/>
        </w:rPr>
        <w:br/>
      </w:r>
      <w:r>
        <w:rPr>
          <w:rFonts w:hint="eastAsia"/>
        </w:rPr>
        <w:t xml:space="preserve">　　《税务行政处罚决定书（简易）》主要做了以下几处修订：</w:t>
      </w:r>
      <w:r>
        <w:rPr>
          <w:rFonts w:hint="eastAsia"/>
        </w:rPr>
        <w:br/>
      </w:r>
      <w:r>
        <w:rPr>
          <w:rFonts w:hint="eastAsia"/>
        </w:rPr>
        <w:t xml:space="preserve">　　一是增加“陈述申辩情况”栏。用于记录执法人员已告知当事人享有陈述、申辩权利，以及纳税人的陈述、申辩情况，税务执法人员不需要再另行制作《陈述申辩笔录》。</w:t>
      </w:r>
      <w:r>
        <w:rPr>
          <w:rFonts w:hint="eastAsia"/>
        </w:rPr>
        <w:br/>
      </w:r>
      <w:r>
        <w:rPr>
          <w:rFonts w:hint="eastAsia"/>
        </w:rPr>
        <w:t xml:space="preserve">　　二是增加“签收情况”栏。用于记录被处罚人签收处罚决定书情况，税务执法人员此时不再另行制作《税务文书送达回证》。</w:t>
      </w:r>
      <w:r>
        <w:rPr>
          <w:rFonts w:hint="eastAsia"/>
        </w:rPr>
        <w:br/>
      </w:r>
      <w:r>
        <w:rPr>
          <w:rFonts w:hint="eastAsia"/>
        </w:rPr>
        <w:t xml:space="preserve">　　三是其他修改，包括：</w:t>
      </w:r>
      <w:proofErr w:type="gramStart"/>
      <w:r>
        <w:rPr>
          <w:rFonts w:hint="eastAsia"/>
        </w:rPr>
        <w:t>明确加</w:t>
      </w:r>
      <w:proofErr w:type="gramEnd"/>
      <w:r>
        <w:rPr>
          <w:rFonts w:hint="eastAsia"/>
        </w:rPr>
        <w:t>处罚款不超过罚款本数；删除税务机关“负责人”签字部分即只由税务执法人员签字，不再要求所在单位负责人签字。</w:t>
      </w:r>
      <w:r>
        <w:rPr>
          <w:rFonts w:hint="eastAsia"/>
        </w:rPr>
        <w:br/>
      </w:r>
      <w:r>
        <w:rPr>
          <w:rFonts w:hint="eastAsia"/>
        </w:rPr>
        <w:t xml:space="preserve">　　</w:t>
      </w:r>
      <w:r>
        <w:rPr>
          <w:rFonts w:hint="eastAsia"/>
          <w:b/>
          <w:bCs/>
        </w:rPr>
        <w:t>三、新《税务行政处罚决定书（简易）》什么时候开始使用？</w:t>
      </w:r>
      <w:r>
        <w:rPr>
          <w:rFonts w:hint="eastAsia"/>
          <w:b/>
          <w:bCs/>
        </w:rPr>
        <w:br/>
      </w:r>
      <w:r>
        <w:rPr>
          <w:rFonts w:hint="eastAsia"/>
        </w:rPr>
        <w:t xml:space="preserve">　　修订后的《税务行政处罚决定书（简易）》自</w:t>
      </w:r>
      <w:r>
        <w:rPr>
          <w:rFonts w:hint="eastAsia"/>
        </w:rPr>
        <w:t>2017</w:t>
      </w:r>
      <w:r>
        <w:rPr>
          <w:rFonts w:hint="eastAsia"/>
        </w:rPr>
        <w:t>年</w:t>
      </w:r>
      <w:r>
        <w:rPr>
          <w:rFonts w:hint="eastAsia"/>
        </w:rPr>
        <w:t>11</w:t>
      </w:r>
      <w:r>
        <w:rPr>
          <w:rFonts w:hint="eastAsia"/>
        </w:rPr>
        <w:t>月</w:t>
      </w:r>
      <w:r>
        <w:rPr>
          <w:rFonts w:hint="eastAsia"/>
        </w:rPr>
        <w:t>1</w:t>
      </w:r>
      <w:r>
        <w:rPr>
          <w:rFonts w:hint="eastAsia"/>
        </w:rPr>
        <w:t>日起执行。《国家税务总局关于印发全国统一税收执法文书式样的通知》（国税发〔</w:t>
      </w:r>
      <w:r>
        <w:rPr>
          <w:rFonts w:hint="eastAsia"/>
        </w:rPr>
        <w:t>2005</w:t>
      </w:r>
      <w:r>
        <w:rPr>
          <w:rFonts w:hint="eastAsia"/>
        </w:rPr>
        <w:t>〕</w:t>
      </w:r>
      <w:r>
        <w:rPr>
          <w:rFonts w:hint="eastAsia"/>
        </w:rPr>
        <w:t>179</w:t>
      </w:r>
      <w:r>
        <w:rPr>
          <w:rFonts w:hint="eastAsia"/>
        </w:rPr>
        <w:t>号）附件</w:t>
      </w:r>
      <w:r>
        <w:rPr>
          <w:rFonts w:hint="eastAsia"/>
        </w:rPr>
        <w:t>1</w:t>
      </w:r>
      <w:r>
        <w:rPr>
          <w:rFonts w:hint="eastAsia"/>
        </w:rPr>
        <w:t>中的《税务行政处罚决定书（简易）》同时废止。</w:t>
      </w:r>
    </w:p>
    <w:p w:rsidR="00FE7DF6" w:rsidRDefault="00FE7DF6" w:rsidP="002550D7">
      <w:pPr>
        <w:tabs>
          <w:tab w:val="left" w:pos="720"/>
        </w:tabs>
        <w:spacing w:line="380" w:lineRule="exact"/>
        <w:ind w:firstLineChars="49" w:firstLine="118"/>
        <w:contextualSpacing/>
      </w:pPr>
    </w:p>
    <w:p w:rsidR="00FE7DF6" w:rsidRDefault="00162274">
      <w:pPr>
        <w:pStyle w:val="3"/>
      </w:pPr>
      <w:bookmarkStart w:id="24" w:name="_Toc10746"/>
      <w:r>
        <w:rPr>
          <w:rFonts w:hint="eastAsia"/>
        </w:rPr>
        <w:t>关于《国家税务总局关于调整完善外贸综合</w:t>
      </w:r>
      <w:r>
        <w:rPr>
          <w:rFonts w:hint="eastAsia"/>
        </w:rPr>
        <w:br/>
      </w:r>
      <w:r>
        <w:rPr>
          <w:rFonts w:hint="eastAsia"/>
        </w:rPr>
        <w:t>服务企业办理出口货物退（免）税有关事项的公告》的解读</w:t>
      </w:r>
      <w:bookmarkEnd w:id="24"/>
    </w:p>
    <w:p w:rsidR="00FE7DF6" w:rsidRDefault="00162274">
      <w:pPr>
        <w:pStyle w:val="4"/>
      </w:pPr>
      <w:bookmarkStart w:id="25" w:name="_Toc24961"/>
      <w:r>
        <w:rPr>
          <w:rFonts w:hint="eastAsia"/>
        </w:rPr>
        <w:t>来源：国家税务总局办公厅  2017-09-30</w:t>
      </w:r>
      <w:bookmarkEnd w:id="25"/>
    </w:p>
    <w:p w:rsidR="00FE7DF6" w:rsidRDefault="00162274">
      <w:pPr>
        <w:tabs>
          <w:tab w:val="left" w:pos="720"/>
        </w:tabs>
        <w:spacing w:line="380" w:lineRule="exact"/>
        <w:ind w:firstLineChars="300" w:firstLine="720"/>
        <w:contextualSpacing/>
      </w:pPr>
      <w:r>
        <w:rPr>
          <w:rFonts w:hint="eastAsia"/>
        </w:rPr>
        <w:t>现将《国家税务总局关于调整完善外贸综合服务企业办理出口货物退</w:t>
      </w:r>
      <w:r>
        <w:rPr>
          <w:rFonts w:hint="eastAsia"/>
        </w:rPr>
        <w:t>(</w:t>
      </w:r>
      <w:r>
        <w:rPr>
          <w:rFonts w:hint="eastAsia"/>
        </w:rPr>
        <w:t>免</w:t>
      </w:r>
      <w:r>
        <w:rPr>
          <w:rFonts w:hint="eastAsia"/>
        </w:rPr>
        <w:t>)</w:t>
      </w:r>
      <w:r>
        <w:rPr>
          <w:rFonts w:hint="eastAsia"/>
        </w:rPr>
        <w:t>税有关事项的公告》（以下简称《公告》）的有关内容解读如下：</w:t>
      </w:r>
      <w:r>
        <w:rPr>
          <w:rFonts w:hint="eastAsia"/>
        </w:rPr>
        <w:br/>
      </w:r>
      <w:r>
        <w:rPr>
          <w:rFonts w:hint="eastAsia"/>
        </w:rPr>
        <w:t xml:space="preserve">　　</w:t>
      </w:r>
      <w:r>
        <w:rPr>
          <w:rFonts w:hint="eastAsia"/>
          <w:b/>
          <w:bCs/>
        </w:rPr>
        <w:t>一、《公告》起草背景</w:t>
      </w:r>
      <w:r>
        <w:rPr>
          <w:rFonts w:hint="eastAsia"/>
          <w:b/>
          <w:bCs/>
        </w:rPr>
        <w:br/>
      </w:r>
      <w:r>
        <w:rPr>
          <w:rFonts w:hint="eastAsia"/>
        </w:rPr>
        <w:t xml:space="preserve">　　为解决外贸综合服务企业（以下称“综服企业”）反映的问题，促进</w:t>
      </w:r>
      <w:proofErr w:type="gramStart"/>
      <w:r>
        <w:rPr>
          <w:rFonts w:hint="eastAsia"/>
        </w:rPr>
        <w:t>综服企业</w:t>
      </w:r>
      <w:proofErr w:type="gramEnd"/>
      <w:r>
        <w:rPr>
          <w:rFonts w:hint="eastAsia"/>
        </w:rPr>
        <w:t>规范健康发展</w:t>
      </w:r>
      <w:r>
        <w:rPr>
          <w:rFonts w:hint="eastAsia"/>
        </w:rPr>
        <w:t>,</w:t>
      </w:r>
      <w:r>
        <w:rPr>
          <w:rFonts w:hint="eastAsia"/>
        </w:rPr>
        <w:t>建立与企业发展相适应的税收管理模式，经国务院批准同意，税务总局拟对现行</w:t>
      </w:r>
      <w:proofErr w:type="gramStart"/>
      <w:r>
        <w:rPr>
          <w:rFonts w:hint="eastAsia"/>
        </w:rPr>
        <w:t>综服企业</w:t>
      </w:r>
      <w:proofErr w:type="gramEnd"/>
      <w:r>
        <w:rPr>
          <w:rFonts w:hint="eastAsia"/>
        </w:rPr>
        <w:t>代生产企业办理出口退（免）税</w:t>
      </w:r>
      <w:r>
        <w:rPr>
          <w:rFonts w:hint="eastAsia"/>
        </w:rPr>
        <w:lastRenderedPageBreak/>
        <w:t>管理办法进行调整完善，改为</w:t>
      </w:r>
      <w:proofErr w:type="gramStart"/>
      <w:r>
        <w:rPr>
          <w:rFonts w:hint="eastAsia"/>
        </w:rPr>
        <w:t>由综服企业</w:t>
      </w:r>
      <w:proofErr w:type="gramEnd"/>
      <w:r>
        <w:rPr>
          <w:rFonts w:hint="eastAsia"/>
        </w:rPr>
        <w:t>代生产企业集中申报退税（以下称代办退税）。为此，税务总局制发了《公告》，同时废止了《国家税务总局关于外贸综合服务企业出口货物退</w:t>
      </w:r>
      <w:r>
        <w:rPr>
          <w:rFonts w:hint="eastAsia"/>
        </w:rPr>
        <w:t>(</w:t>
      </w:r>
      <w:r>
        <w:rPr>
          <w:rFonts w:hint="eastAsia"/>
        </w:rPr>
        <w:t>免</w:t>
      </w:r>
      <w:r>
        <w:rPr>
          <w:rFonts w:hint="eastAsia"/>
        </w:rPr>
        <w:t>)</w:t>
      </w:r>
      <w:r>
        <w:rPr>
          <w:rFonts w:hint="eastAsia"/>
        </w:rPr>
        <w:t>税有关问题的公告》（国家税务总局公告</w:t>
      </w:r>
      <w:r>
        <w:rPr>
          <w:rFonts w:hint="eastAsia"/>
        </w:rPr>
        <w:t>2014</w:t>
      </w:r>
      <w:r>
        <w:rPr>
          <w:rFonts w:hint="eastAsia"/>
        </w:rPr>
        <w:t>年第</w:t>
      </w:r>
      <w:r>
        <w:rPr>
          <w:rFonts w:hint="eastAsia"/>
        </w:rPr>
        <w:t>13</w:t>
      </w:r>
      <w:r>
        <w:rPr>
          <w:rFonts w:hint="eastAsia"/>
        </w:rPr>
        <w:t>号）。</w:t>
      </w:r>
      <w:r>
        <w:rPr>
          <w:rFonts w:hint="eastAsia"/>
        </w:rPr>
        <w:br/>
      </w:r>
      <w:r>
        <w:rPr>
          <w:rFonts w:hint="eastAsia"/>
        </w:rPr>
        <w:t xml:space="preserve">　　</w:t>
      </w:r>
      <w:r>
        <w:rPr>
          <w:rFonts w:hint="eastAsia"/>
          <w:b/>
          <w:bCs/>
        </w:rPr>
        <w:t>二、《公告》主要内容</w:t>
      </w:r>
      <w:r>
        <w:rPr>
          <w:rFonts w:hint="eastAsia"/>
          <w:b/>
          <w:bCs/>
        </w:rPr>
        <w:br/>
      </w:r>
      <w:r>
        <w:rPr>
          <w:rFonts w:hint="eastAsia"/>
        </w:rPr>
        <w:t xml:space="preserve">　　（一）明确了</w:t>
      </w:r>
      <w:proofErr w:type="gramStart"/>
      <w:r>
        <w:rPr>
          <w:rFonts w:hint="eastAsia"/>
        </w:rPr>
        <w:t>综服企业</w:t>
      </w:r>
      <w:proofErr w:type="gramEnd"/>
      <w:r>
        <w:rPr>
          <w:rFonts w:hint="eastAsia"/>
        </w:rPr>
        <w:t>代办退税的条件。</w:t>
      </w:r>
      <w:proofErr w:type="gramStart"/>
      <w:r>
        <w:rPr>
          <w:rFonts w:hint="eastAsia"/>
        </w:rPr>
        <w:t>综服企业</w:t>
      </w:r>
      <w:proofErr w:type="gramEnd"/>
      <w:r>
        <w:rPr>
          <w:rFonts w:hint="eastAsia"/>
        </w:rPr>
        <w:t>和生产企业出口货物均符合规定条件的，</w:t>
      </w:r>
      <w:proofErr w:type="gramStart"/>
      <w:r>
        <w:rPr>
          <w:rFonts w:hint="eastAsia"/>
        </w:rPr>
        <w:t>由综服企业</w:t>
      </w:r>
      <w:proofErr w:type="gramEnd"/>
      <w:r>
        <w:rPr>
          <w:rFonts w:hint="eastAsia"/>
        </w:rPr>
        <w:t>代办退税。</w:t>
      </w:r>
      <w:r>
        <w:rPr>
          <w:rFonts w:hint="eastAsia"/>
        </w:rPr>
        <w:br/>
      </w:r>
      <w:r>
        <w:rPr>
          <w:rFonts w:hint="eastAsia"/>
        </w:rPr>
        <w:t xml:space="preserve">　　（二）明确了</w:t>
      </w:r>
      <w:proofErr w:type="gramStart"/>
      <w:r>
        <w:rPr>
          <w:rFonts w:hint="eastAsia"/>
        </w:rPr>
        <w:t>综服企业</w:t>
      </w:r>
      <w:proofErr w:type="gramEnd"/>
      <w:r>
        <w:rPr>
          <w:rFonts w:hint="eastAsia"/>
        </w:rPr>
        <w:t>代办退税的具体办法。一是生产企业和</w:t>
      </w:r>
      <w:proofErr w:type="gramStart"/>
      <w:r>
        <w:rPr>
          <w:rFonts w:hint="eastAsia"/>
        </w:rPr>
        <w:t>综服</w:t>
      </w:r>
      <w:proofErr w:type="gramEnd"/>
      <w:r>
        <w:rPr>
          <w:rFonts w:hint="eastAsia"/>
        </w:rPr>
        <w:t>企业需各自办理出口退（免）税备案。二是生产企业应先按规定申报缴纳增值税，同时</w:t>
      </w:r>
      <w:proofErr w:type="gramStart"/>
      <w:r>
        <w:rPr>
          <w:rFonts w:hint="eastAsia"/>
        </w:rPr>
        <w:t>向综服企业</w:t>
      </w:r>
      <w:proofErr w:type="gramEnd"/>
      <w:r>
        <w:rPr>
          <w:rFonts w:hint="eastAsia"/>
        </w:rPr>
        <w:t>开具代办退税专用发票，作为</w:t>
      </w:r>
      <w:proofErr w:type="gramStart"/>
      <w:r>
        <w:rPr>
          <w:rFonts w:hint="eastAsia"/>
        </w:rPr>
        <w:t>综服企业</w:t>
      </w:r>
      <w:proofErr w:type="gramEnd"/>
      <w:r>
        <w:rPr>
          <w:rFonts w:hint="eastAsia"/>
        </w:rPr>
        <w:t>代办退税的凭证。三是</w:t>
      </w:r>
      <w:proofErr w:type="gramStart"/>
      <w:r>
        <w:rPr>
          <w:rFonts w:hint="eastAsia"/>
        </w:rPr>
        <w:t>综服企业</w:t>
      </w:r>
      <w:proofErr w:type="gramEnd"/>
      <w:r>
        <w:rPr>
          <w:rFonts w:hint="eastAsia"/>
        </w:rPr>
        <w:t>代办退税的应退税额按代办退税专用发票上注明的“金额”和出口货物适用的出口退税率计算。四</w:t>
      </w:r>
      <w:proofErr w:type="gramStart"/>
      <w:r>
        <w:rPr>
          <w:rFonts w:hint="eastAsia"/>
        </w:rPr>
        <w:t>是综服企业主</w:t>
      </w:r>
      <w:proofErr w:type="gramEnd"/>
      <w:r>
        <w:rPr>
          <w:rFonts w:hint="eastAsia"/>
        </w:rPr>
        <w:t>管税务机关</w:t>
      </w:r>
      <w:proofErr w:type="gramStart"/>
      <w:r>
        <w:rPr>
          <w:rFonts w:hint="eastAsia"/>
        </w:rPr>
        <w:t>按综服企业</w:t>
      </w:r>
      <w:proofErr w:type="gramEnd"/>
      <w:r>
        <w:rPr>
          <w:rFonts w:hint="eastAsia"/>
        </w:rPr>
        <w:t>的出口企业管理类别审核办理代办退税，代办退税款退还至生产企业提供的代办退税账户。</w:t>
      </w:r>
      <w:r>
        <w:rPr>
          <w:rFonts w:hint="eastAsia"/>
        </w:rPr>
        <w:br/>
      </w:r>
      <w:r>
        <w:rPr>
          <w:rFonts w:hint="eastAsia"/>
        </w:rPr>
        <w:t xml:space="preserve">　　（三）明确了异常代办退税业务的处理措施。生产企业主管税务机关和</w:t>
      </w:r>
      <w:proofErr w:type="gramStart"/>
      <w:r>
        <w:rPr>
          <w:rFonts w:hint="eastAsia"/>
        </w:rPr>
        <w:t>综服</w:t>
      </w:r>
      <w:proofErr w:type="gramEnd"/>
      <w:r>
        <w:rPr>
          <w:rFonts w:hint="eastAsia"/>
        </w:rPr>
        <w:t>企业主管税务机关发现代办退税的出口业务存在异常情形或按规定暂不办理退税情形的，应按规定采取相应的措施。</w:t>
      </w:r>
      <w:r>
        <w:rPr>
          <w:rFonts w:hint="eastAsia"/>
        </w:rPr>
        <w:br/>
      </w:r>
      <w:r>
        <w:rPr>
          <w:rFonts w:hint="eastAsia"/>
        </w:rPr>
        <w:t xml:space="preserve">　　（四）明确了</w:t>
      </w:r>
      <w:proofErr w:type="gramStart"/>
      <w:r>
        <w:rPr>
          <w:rFonts w:hint="eastAsia"/>
        </w:rPr>
        <w:t>综服企业</w:t>
      </w:r>
      <w:proofErr w:type="gramEnd"/>
      <w:r>
        <w:rPr>
          <w:rFonts w:hint="eastAsia"/>
        </w:rPr>
        <w:t>的相关法律责任和罚则。一是代办退税的出口业务发生涉税违法违规情形的，税务机关将对</w:t>
      </w:r>
      <w:proofErr w:type="gramStart"/>
      <w:r>
        <w:rPr>
          <w:rFonts w:hint="eastAsia"/>
        </w:rPr>
        <w:t>综服企业</w:t>
      </w:r>
      <w:proofErr w:type="gramEnd"/>
      <w:r>
        <w:rPr>
          <w:rFonts w:hint="eastAsia"/>
        </w:rPr>
        <w:t>进行相应的处罚。二是代办退税的出口业务如发生骗取出口退税等涉税违法行为的，生产企业应作为责任主体依法承担法律责任。</w:t>
      </w:r>
      <w:r>
        <w:rPr>
          <w:rFonts w:hint="eastAsia"/>
        </w:rPr>
        <w:br/>
      </w:r>
      <w:r>
        <w:rPr>
          <w:rFonts w:hint="eastAsia"/>
        </w:rPr>
        <w:t xml:space="preserve">　　（五）明确了</w:t>
      </w:r>
      <w:proofErr w:type="gramStart"/>
      <w:r>
        <w:rPr>
          <w:rFonts w:hint="eastAsia"/>
        </w:rPr>
        <w:t>综服企业</w:t>
      </w:r>
      <w:proofErr w:type="gramEnd"/>
      <w:r>
        <w:rPr>
          <w:rFonts w:hint="eastAsia"/>
        </w:rPr>
        <w:t>其他涉税问题。《公告》同时明确了</w:t>
      </w:r>
      <w:proofErr w:type="gramStart"/>
      <w:r>
        <w:rPr>
          <w:rFonts w:hint="eastAsia"/>
        </w:rPr>
        <w:t>综服企业</w:t>
      </w:r>
      <w:proofErr w:type="gramEnd"/>
      <w:r>
        <w:rPr>
          <w:rFonts w:hint="eastAsia"/>
        </w:rPr>
        <w:t>提供服务取得收入的涉税处理问题。</w:t>
      </w:r>
      <w:r>
        <w:rPr>
          <w:rFonts w:hint="eastAsia"/>
        </w:rPr>
        <w:br/>
      </w:r>
      <w:r>
        <w:rPr>
          <w:rFonts w:hint="eastAsia"/>
        </w:rPr>
        <w:t xml:space="preserve">　　（六）明确了执行时间。《公告》自</w:t>
      </w:r>
      <w:r>
        <w:rPr>
          <w:rFonts w:hint="eastAsia"/>
        </w:rPr>
        <w:t>2017</w:t>
      </w:r>
      <w:r>
        <w:rPr>
          <w:rFonts w:hint="eastAsia"/>
        </w:rPr>
        <w:t>年</w:t>
      </w:r>
      <w:r>
        <w:rPr>
          <w:rFonts w:hint="eastAsia"/>
        </w:rPr>
        <w:t>11</w:t>
      </w:r>
      <w:r>
        <w:rPr>
          <w:rFonts w:hint="eastAsia"/>
        </w:rPr>
        <w:t>月</w:t>
      </w:r>
      <w:r>
        <w:rPr>
          <w:rFonts w:hint="eastAsia"/>
        </w:rPr>
        <w:t>1</w:t>
      </w:r>
      <w:r>
        <w:rPr>
          <w:rFonts w:hint="eastAsia"/>
        </w:rPr>
        <w:t>日起施行，具体时间以出口报关单上注明的出口日期为准，国家税务总局公告</w:t>
      </w:r>
      <w:r>
        <w:rPr>
          <w:rFonts w:hint="eastAsia"/>
        </w:rPr>
        <w:t>2014</w:t>
      </w:r>
      <w:r>
        <w:rPr>
          <w:rFonts w:hint="eastAsia"/>
        </w:rPr>
        <w:t>年第</w:t>
      </w:r>
      <w:r>
        <w:rPr>
          <w:rFonts w:hint="eastAsia"/>
        </w:rPr>
        <w:t>13</w:t>
      </w:r>
      <w:r>
        <w:rPr>
          <w:rFonts w:hint="eastAsia"/>
        </w:rPr>
        <w:t>号同时废止。</w:t>
      </w:r>
    </w:p>
    <w:sectPr w:rsidR="00FE7DF6">
      <w:pgSz w:w="11164" w:h="15485"/>
      <w:pgMar w:top="1440" w:right="1800" w:bottom="1440" w:left="1800" w:header="851" w:footer="99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2BC" w:rsidRDefault="000112BC" w:rsidP="002550D7">
      <w:pPr>
        <w:spacing w:line="240" w:lineRule="auto"/>
        <w:ind w:firstLine="480"/>
      </w:pPr>
      <w:r>
        <w:separator/>
      </w:r>
    </w:p>
  </w:endnote>
  <w:endnote w:type="continuationSeparator" w:id="0">
    <w:p w:rsidR="000112BC" w:rsidRDefault="000112BC" w:rsidP="002550D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行楷">
    <w:altName w:val="微软雅黑"/>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F6" w:rsidRDefault="00FE7DF6">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F6" w:rsidRDefault="00162274">
    <w:pPr>
      <w:pStyle w:val="a4"/>
      <w:ind w:firstLine="360"/>
      <w:jc w:val="center"/>
    </w:pPr>
    <w:r>
      <w:fldChar w:fldCharType="begin"/>
    </w:r>
    <w:r>
      <w:instrText xml:space="preserve"> PAGE   \* MERGEFORMAT </w:instrText>
    </w:r>
    <w:r>
      <w:fldChar w:fldCharType="separate"/>
    </w:r>
    <w:r w:rsidR="000C5361" w:rsidRPr="000C5361">
      <w:rPr>
        <w:noProof/>
        <w:lang w:val="zh-CN"/>
      </w:rPr>
      <w:t>2</w:t>
    </w:r>
    <w:r>
      <w:rPr>
        <w:lang w:val="zh-CN"/>
      </w:rPr>
      <w:fldChar w:fldCharType="end"/>
    </w:r>
  </w:p>
  <w:p w:rsidR="00FE7DF6" w:rsidRDefault="00FE7DF6">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F6" w:rsidRDefault="00FE7DF6">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2BC" w:rsidRDefault="000112BC" w:rsidP="002550D7">
      <w:pPr>
        <w:spacing w:line="240" w:lineRule="auto"/>
        <w:ind w:firstLine="480"/>
      </w:pPr>
      <w:r>
        <w:separator/>
      </w:r>
    </w:p>
  </w:footnote>
  <w:footnote w:type="continuationSeparator" w:id="0">
    <w:p w:rsidR="000112BC" w:rsidRDefault="000112BC" w:rsidP="002550D7">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F6" w:rsidRDefault="00FE7DF6">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F6" w:rsidRDefault="00FE7DF6">
    <w:pPr>
      <w:pStyle w:val="a5"/>
      <w:ind w:firstLine="643"/>
      <w:jc w:val="left"/>
      <w:rPr>
        <w:b/>
        <w:sz w:val="32"/>
        <w:szCs w:val="32"/>
      </w:rPr>
    </w:pPr>
  </w:p>
  <w:p w:rsidR="00FE7DF6" w:rsidRDefault="00FE7DF6">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F6" w:rsidRDefault="00FE7DF6">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E0F18"/>
    <w:multiLevelType w:val="hybridMultilevel"/>
    <w:tmpl w:val="632CF80E"/>
    <w:lvl w:ilvl="0" w:tplc="59DB246E">
      <w:start w:val="1"/>
      <w:numFmt w:val="bullet"/>
      <w:lvlText w:val=""/>
      <w:lvlJc w:val="left"/>
      <w:pPr>
        <w:ind w:left="1540" w:hanging="420"/>
      </w:pPr>
      <w:rPr>
        <w:rFonts w:ascii="Wingdings" w:hAnsi="Wingdings" w:hint="default"/>
      </w:rPr>
    </w:lvl>
    <w:lvl w:ilvl="1" w:tplc="04090003" w:tentative="1">
      <w:start w:val="1"/>
      <w:numFmt w:val="bullet"/>
      <w:lvlText w:val=""/>
      <w:lvlJc w:val="left"/>
      <w:pPr>
        <w:ind w:left="1960" w:hanging="420"/>
      </w:pPr>
      <w:rPr>
        <w:rFonts w:ascii="Wingdings" w:hAnsi="Wingdings" w:hint="default"/>
      </w:rPr>
    </w:lvl>
    <w:lvl w:ilvl="2" w:tplc="04090005"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3" w:tentative="1">
      <w:start w:val="1"/>
      <w:numFmt w:val="bullet"/>
      <w:lvlText w:val=""/>
      <w:lvlJc w:val="left"/>
      <w:pPr>
        <w:ind w:left="3220" w:hanging="420"/>
      </w:pPr>
      <w:rPr>
        <w:rFonts w:ascii="Wingdings" w:hAnsi="Wingdings" w:hint="default"/>
      </w:rPr>
    </w:lvl>
    <w:lvl w:ilvl="5" w:tplc="04090005"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3" w:tentative="1">
      <w:start w:val="1"/>
      <w:numFmt w:val="bullet"/>
      <w:lvlText w:val=""/>
      <w:lvlJc w:val="left"/>
      <w:pPr>
        <w:ind w:left="4480" w:hanging="420"/>
      </w:pPr>
      <w:rPr>
        <w:rFonts w:ascii="Wingdings" w:hAnsi="Wingdings" w:hint="default"/>
      </w:rPr>
    </w:lvl>
    <w:lvl w:ilvl="8" w:tplc="04090005" w:tentative="1">
      <w:start w:val="1"/>
      <w:numFmt w:val="bullet"/>
      <w:lvlText w:val=""/>
      <w:lvlJc w:val="left"/>
      <w:pPr>
        <w:ind w:left="4900" w:hanging="420"/>
      </w:pPr>
      <w:rPr>
        <w:rFonts w:ascii="Wingdings" w:hAnsi="Wingdings" w:hint="default"/>
      </w:rPr>
    </w:lvl>
  </w:abstractNum>
  <w:abstractNum w:abstractNumId="1">
    <w:nsid w:val="2BB6215F"/>
    <w:multiLevelType w:val="multilevel"/>
    <w:tmpl w:val="2BB6215F"/>
    <w:lvl w:ilvl="0">
      <w:start w:val="1"/>
      <w:numFmt w:val="chineseCountingThousand"/>
      <w:pStyle w:val="3"/>
      <w:lvlText w:val="%1、"/>
      <w:lvlJc w:val="left"/>
      <w:pPr>
        <w:ind w:left="1413" w:hanging="420"/>
      </w:pPr>
    </w:lvl>
    <w:lvl w:ilvl="1">
      <w:start w:val="1"/>
      <w:numFmt w:val="lowerLetter"/>
      <w:lvlText w:val="%2)"/>
      <w:lvlJc w:val="left"/>
      <w:pPr>
        <w:ind w:left="1149" w:hanging="420"/>
      </w:pPr>
    </w:lvl>
    <w:lvl w:ilvl="2">
      <w:start w:val="1"/>
      <w:numFmt w:val="lowerRoman"/>
      <w:lvlText w:val="%3."/>
      <w:lvlJc w:val="right"/>
      <w:pPr>
        <w:ind w:left="1569" w:hanging="420"/>
      </w:pPr>
    </w:lvl>
    <w:lvl w:ilvl="3">
      <w:start w:val="1"/>
      <w:numFmt w:val="decimal"/>
      <w:lvlText w:val="%4."/>
      <w:lvlJc w:val="left"/>
      <w:pPr>
        <w:ind w:left="1989" w:hanging="420"/>
      </w:pPr>
    </w:lvl>
    <w:lvl w:ilvl="4">
      <w:start w:val="1"/>
      <w:numFmt w:val="lowerLetter"/>
      <w:lvlText w:val="%5)"/>
      <w:lvlJc w:val="left"/>
      <w:pPr>
        <w:ind w:left="2409" w:hanging="420"/>
      </w:pPr>
    </w:lvl>
    <w:lvl w:ilvl="5">
      <w:start w:val="1"/>
      <w:numFmt w:val="lowerRoman"/>
      <w:lvlText w:val="%6."/>
      <w:lvlJc w:val="right"/>
      <w:pPr>
        <w:ind w:left="2829" w:hanging="420"/>
      </w:pPr>
    </w:lvl>
    <w:lvl w:ilvl="6">
      <w:start w:val="1"/>
      <w:numFmt w:val="decimal"/>
      <w:lvlText w:val="%7."/>
      <w:lvlJc w:val="left"/>
      <w:pPr>
        <w:ind w:left="3249" w:hanging="420"/>
      </w:pPr>
    </w:lvl>
    <w:lvl w:ilvl="7">
      <w:start w:val="1"/>
      <w:numFmt w:val="lowerLetter"/>
      <w:lvlText w:val="%8)"/>
      <w:lvlJc w:val="left"/>
      <w:pPr>
        <w:ind w:left="3669" w:hanging="420"/>
      </w:pPr>
    </w:lvl>
    <w:lvl w:ilvl="8">
      <w:start w:val="1"/>
      <w:numFmt w:val="lowerRoman"/>
      <w:lvlText w:val="%9."/>
      <w:lvlJc w:val="right"/>
      <w:pPr>
        <w:ind w:left="4089" w:hanging="420"/>
      </w:pPr>
    </w:lvl>
  </w:abstractNum>
  <w:abstractNum w:abstractNumId="2">
    <w:nsid w:val="4C324DBE"/>
    <w:multiLevelType w:val="hybridMultilevel"/>
    <w:tmpl w:val="73ECC996"/>
    <w:lvl w:ilvl="0" w:tplc="04090001">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3">
    <w:nsid w:val="56ED00B3"/>
    <w:multiLevelType w:val="hybridMultilevel"/>
    <w:tmpl w:val="BD58790E"/>
    <w:lvl w:ilvl="0" w:tplc="7CFC3444">
      <w:start w:val="1"/>
      <w:numFmt w:val="bullet"/>
      <w:lvlText w:val=""/>
      <w:lvlJc w:val="left"/>
      <w:pPr>
        <w:ind w:left="1413" w:hanging="420"/>
      </w:pPr>
      <w:rPr>
        <w:rFonts w:ascii="Wingdings" w:hAnsi="Wingdings" w:hint="default"/>
        <w:sz w:val="28"/>
        <w:szCs w:val="28"/>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4">
    <w:nsid w:val="5846AA04"/>
    <w:multiLevelType w:val="multilevel"/>
    <w:tmpl w:val="5846AA04"/>
    <w:lvl w:ilvl="0">
      <w:start w:val="1"/>
      <w:numFmt w:val="chineseCountingThousand"/>
      <w:pStyle w:val="1"/>
      <w:lvlText w:val="%1、"/>
      <w:lvlJc w:val="left"/>
      <w:pPr>
        <w:ind w:left="420" w:hanging="420"/>
      </w:pPr>
      <w:rPr>
        <w:rFonts w:hint="eastAsia"/>
      </w:rPr>
    </w:lvl>
    <w:lvl w:ilvl="1">
      <w:start w:val="1"/>
      <w:numFmt w:val="chineseCounting"/>
      <w:pStyle w:val="2"/>
      <w:suff w:val="nothing"/>
      <w:lvlText w:val="（%2）"/>
      <w:lvlJc w:val="left"/>
      <w:pPr>
        <w:tabs>
          <w:tab w:val="left" w:pos="142"/>
        </w:tabs>
        <w:ind w:left="142" w:firstLine="0"/>
      </w:pPr>
      <w:rPr>
        <w:rFonts w:hint="eastAsia"/>
        <w:lang w:val="en-US"/>
      </w:rPr>
    </w:lvl>
    <w:lvl w:ilvl="2">
      <w:start w:val="1"/>
      <w:numFmt w:val="decimal"/>
      <w:suff w:val="nothing"/>
      <w:lvlText w:val="%3、"/>
      <w:lvlJc w:val="left"/>
      <w:pPr>
        <w:tabs>
          <w:tab w:val="left" w:pos="309"/>
        </w:tabs>
        <w:ind w:left="309" w:firstLine="400"/>
      </w:pPr>
      <w:rPr>
        <w:b w:val="0"/>
        <w:bCs w:val="0"/>
        <w:i w:val="0"/>
        <w:iCs w:val="0"/>
        <w:caps w:val="0"/>
        <w:smallCaps w:val="0"/>
        <w:strike w:val="0"/>
        <w:dstrike w:val="0"/>
        <w:outline w:val="0"/>
        <w:shadow w:val="0"/>
        <w:emboss w:val="0"/>
        <w:imprint w:val="0"/>
        <w:vanish w:val="0"/>
        <w:spacing w:val="0"/>
        <w:position w:val="0"/>
        <w:u w:val="none"/>
        <w:vertAlign w:val="baseline"/>
      </w:rPr>
    </w:lvl>
    <w:lvl w:ilvl="3">
      <w:start w:val="1"/>
      <w:numFmt w:val="none"/>
      <w:pStyle w:val="4"/>
      <w:suff w:val="nothing"/>
      <w:lvlText w:val=""/>
      <w:lvlJc w:val="left"/>
      <w:pPr>
        <w:tabs>
          <w:tab w:val="left" w:pos="0"/>
        </w:tabs>
        <w:ind w:left="0" w:firstLine="402"/>
      </w:pPr>
      <w:rPr>
        <w:rFonts w:ascii="宋体" w:eastAsia="宋体" w:hAnsi="宋体" w:cs="宋体"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5">
    <w:nsid w:val="59DB246E"/>
    <w:multiLevelType w:val="singleLevel"/>
    <w:tmpl w:val="59DB246E"/>
    <w:lvl w:ilvl="0">
      <w:start w:val="1"/>
      <w:numFmt w:val="bullet"/>
      <w:lvlText w:val=""/>
      <w:lvlJc w:val="left"/>
      <w:pPr>
        <w:ind w:left="420" w:hanging="420"/>
      </w:pPr>
      <w:rPr>
        <w:rFonts w:ascii="Wingdings" w:hAnsi="Wingdings" w:hint="default"/>
      </w:rPr>
    </w:lvl>
  </w:abstractNum>
  <w:abstractNum w:abstractNumId="6">
    <w:nsid w:val="59DB24C9"/>
    <w:multiLevelType w:val="singleLevel"/>
    <w:tmpl w:val="59DB24C9"/>
    <w:lvl w:ilvl="0">
      <w:start w:val="1"/>
      <w:numFmt w:val="bullet"/>
      <w:lvlText w:val=""/>
      <w:lvlJc w:val="left"/>
      <w:pPr>
        <w:ind w:left="420" w:hanging="420"/>
      </w:pPr>
      <w:rPr>
        <w:rFonts w:ascii="Wingdings" w:hAnsi="Wingdings" w:hint="default"/>
      </w:rPr>
    </w:lvl>
  </w:abstractNum>
  <w:abstractNum w:abstractNumId="7">
    <w:nsid w:val="59DB24D9"/>
    <w:multiLevelType w:val="singleLevel"/>
    <w:tmpl w:val="59DB24D9"/>
    <w:lvl w:ilvl="0">
      <w:start w:val="1"/>
      <w:numFmt w:val="bullet"/>
      <w:lvlText w:val=""/>
      <w:lvlJc w:val="left"/>
      <w:pPr>
        <w:ind w:left="420" w:hanging="420"/>
      </w:pPr>
      <w:rPr>
        <w:rFonts w:ascii="Wingdings" w:hAnsi="Wingdings" w:hint="default"/>
      </w:rPr>
    </w:lvl>
  </w:abstractNum>
  <w:abstractNum w:abstractNumId="8">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5"/>
  </w:num>
  <w:num w:numId="4">
    <w:abstractNumId w:val="6"/>
  </w:num>
  <w:num w:numId="5">
    <w:abstractNumId w:val="7"/>
  </w:num>
  <w:num w:numId="6">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92D4CA4"/>
    <w:rsid w:val="00000603"/>
    <w:rsid w:val="00007A5C"/>
    <w:rsid w:val="000112BC"/>
    <w:rsid w:val="00014206"/>
    <w:rsid w:val="00014A1F"/>
    <w:rsid w:val="00015403"/>
    <w:rsid w:val="00020E8E"/>
    <w:rsid w:val="000225EF"/>
    <w:rsid w:val="000227A8"/>
    <w:rsid w:val="00023193"/>
    <w:rsid w:val="00026E2C"/>
    <w:rsid w:val="000318F0"/>
    <w:rsid w:val="00033E06"/>
    <w:rsid w:val="000476F3"/>
    <w:rsid w:val="00052787"/>
    <w:rsid w:val="00052800"/>
    <w:rsid w:val="00060F4C"/>
    <w:rsid w:val="00063B24"/>
    <w:rsid w:val="000661C3"/>
    <w:rsid w:val="000669C3"/>
    <w:rsid w:val="0007116C"/>
    <w:rsid w:val="00071D07"/>
    <w:rsid w:val="0007606F"/>
    <w:rsid w:val="0008269C"/>
    <w:rsid w:val="00083E4B"/>
    <w:rsid w:val="0008591E"/>
    <w:rsid w:val="00087F69"/>
    <w:rsid w:val="000957C6"/>
    <w:rsid w:val="000A080B"/>
    <w:rsid w:val="000A2F1A"/>
    <w:rsid w:val="000A59D7"/>
    <w:rsid w:val="000A5F9C"/>
    <w:rsid w:val="000A7C13"/>
    <w:rsid w:val="000B4327"/>
    <w:rsid w:val="000B74D0"/>
    <w:rsid w:val="000C1863"/>
    <w:rsid w:val="000C2864"/>
    <w:rsid w:val="000C48A2"/>
    <w:rsid w:val="000C4FFA"/>
    <w:rsid w:val="000C5361"/>
    <w:rsid w:val="000C5A5F"/>
    <w:rsid w:val="000C6388"/>
    <w:rsid w:val="000D776E"/>
    <w:rsid w:val="000E2481"/>
    <w:rsid w:val="000E4BD3"/>
    <w:rsid w:val="000F4F72"/>
    <w:rsid w:val="0010108D"/>
    <w:rsid w:val="00102A10"/>
    <w:rsid w:val="001059DE"/>
    <w:rsid w:val="0010739D"/>
    <w:rsid w:val="00113B19"/>
    <w:rsid w:val="0011410C"/>
    <w:rsid w:val="00114BEC"/>
    <w:rsid w:val="00116991"/>
    <w:rsid w:val="00116A56"/>
    <w:rsid w:val="00117BA5"/>
    <w:rsid w:val="00117D2D"/>
    <w:rsid w:val="00124167"/>
    <w:rsid w:val="0013078C"/>
    <w:rsid w:val="001343EF"/>
    <w:rsid w:val="00136A50"/>
    <w:rsid w:val="00142EDF"/>
    <w:rsid w:val="00162274"/>
    <w:rsid w:val="00165514"/>
    <w:rsid w:val="00177013"/>
    <w:rsid w:val="00191BE0"/>
    <w:rsid w:val="00194BA8"/>
    <w:rsid w:val="0019617B"/>
    <w:rsid w:val="00197DFE"/>
    <w:rsid w:val="001A4096"/>
    <w:rsid w:val="001A6B9C"/>
    <w:rsid w:val="001B09DD"/>
    <w:rsid w:val="001B17DB"/>
    <w:rsid w:val="001C53FC"/>
    <w:rsid w:val="001D39AE"/>
    <w:rsid w:val="001D54AE"/>
    <w:rsid w:val="001D5A7B"/>
    <w:rsid w:val="001D5BCB"/>
    <w:rsid w:val="001E16D1"/>
    <w:rsid w:val="00201C38"/>
    <w:rsid w:val="0020661E"/>
    <w:rsid w:val="00214700"/>
    <w:rsid w:val="00216B30"/>
    <w:rsid w:val="00221EB2"/>
    <w:rsid w:val="0023088C"/>
    <w:rsid w:val="00232ADC"/>
    <w:rsid w:val="00236742"/>
    <w:rsid w:val="0023754C"/>
    <w:rsid w:val="00241BAD"/>
    <w:rsid w:val="00246E18"/>
    <w:rsid w:val="00250B47"/>
    <w:rsid w:val="00251521"/>
    <w:rsid w:val="002522AB"/>
    <w:rsid w:val="002550D7"/>
    <w:rsid w:val="00256FE2"/>
    <w:rsid w:val="00257F64"/>
    <w:rsid w:val="0026361B"/>
    <w:rsid w:val="00264354"/>
    <w:rsid w:val="00266568"/>
    <w:rsid w:val="002665F4"/>
    <w:rsid w:val="002810BF"/>
    <w:rsid w:val="00286468"/>
    <w:rsid w:val="002A7C01"/>
    <w:rsid w:val="002A7FB2"/>
    <w:rsid w:val="002C0F6C"/>
    <w:rsid w:val="002D6B86"/>
    <w:rsid w:val="002E0D45"/>
    <w:rsid w:val="002E4D09"/>
    <w:rsid w:val="002E606E"/>
    <w:rsid w:val="002E791F"/>
    <w:rsid w:val="002F5FBE"/>
    <w:rsid w:val="002F627C"/>
    <w:rsid w:val="002F76B3"/>
    <w:rsid w:val="002F77D5"/>
    <w:rsid w:val="00302876"/>
    <w:rsid w:val="00302C6B"/>
    <w:rsid w:val="00310417"/>
    <w:rsid w:val="00315ACA"/>
    <w:rsid w:val="003202A5"/>
    <w:rsid w:val="00335F21"/>
    <w:rsid w:val="00342104"/>
    <w:rsid w:val="00350519"/>
    <w:rsid w:val="00360780"/>
    <w:rsid w:val="00362EF2"/>
    <w:rsid w:val="00364F77"/>
    <w:rsid w:val="003658E8"/>
    <w:rsid w:val="00365AE2"/>
    <w:rsid w:val="0036661B"/>
    <w:rsid w:val="00387751"/>
    <w:rsid w:val="0039326A"/>
    <w:rsid w:val="003959CF"/>
    <w:rsid w:val="003B06BA"/>
    <w:rsid w:val="003B6B4B"/>
    <w:rsid w:val="003D11B0"/>
    <w:rsid w:val="003D7932"/>
    <w:rsid w:val="003D7B17"/>
    <w:rsid w:val="003D7F48"/>
    <w:rsid w:val="003E4DE6"/>
    <w:rsid w:val="003E6C84"/>
    <w:rsid w:val="003F4288"/>
    <w:rsid w:val="0040219A"/>
    <w:rsid w:val="0040373D"/>
    <w:rsid w:val="00403836"/>
    <w:rsid w:val="00404EB0"/>
    <w:rsid w:val="00405F60"/>
    <w:rsid w:val="004130EF"/>
    <w:rsid w:val="00414D22"/>
    <w:rsid w:val="0041749C"/>
    <w:rsid w:val="00420BF6"/>
    <w:rsid w:val="0042245D"/>
    <w:rsid w:val="00423E0D"/>
    <w:rsid w:val="00424DC7"/>
    <w:rsid w:val="00431E41"/>
    <w:rsid w:val="0043209E"/>
    <w:rsid w:val="00445089"/>
    <w:rsid w:val="004463C5"/>
    <w:rsid w:val="004561D3"/>
    <w:rsid w:val="00462C8A"/>
    <w:rsid w:val="00464D72"/>
    <w:rsid w:val="00465EF1"/>
    <w:rsid w:val="004669EB"/>
    <w:rsid w:val="00466F09"/>
    <w:rsid w:val="00467911"/>
    <w:rsid w:val="00471B60"/>
    <w:rsid w:val="00474088"/>
    <w:rsid w:val="0048314F"/>
    <w:rsid w:val="00483792"/>
    <w:rsid w:val="00484A75"/>
    <w:rsid w:val="00485CA5"/>
    <w:rsid w:val="00490DB1"/>
    <w:rsid w:val="004926DB"/>
    <w:rsid w:val="00497697"/>
    <w:rsid w:val="004A1ABA"/>
    <w:rsid w:val="004A245C"/>
    <w:rsid w:val="004B0808"/>
    <w:rsid w:val="004B0B80"/>
    <w:rsid w:val="004B5A10"/>
    <w:rsid w:val="004C1127"/>
    <w:rsid w:val="004C5F4E"/>
    <w:rsid w:val="004D5976"/>
    <w:rsid w:val="004D6AE6"/>
    <w:rsid w:val="004F45FA"/>
    <w:rsid w:val="004F49B9"/>
    <w:rsid w:val="00502114"/>
    <w:rsid w:val="00502A11"/>
    <w:rsid w:val="00503C98"/>
    <w:rsid w:val="005048E0"/>
    <w:rsid w:val="00506060"/>
    <w:rsid w:val="005074F7"/>
    <w:rsid w:val="00510DED"/>
    <w:rsid w:val="00515F1D"/>
    <w:rsid w:val="005221F5"/>
    <w:rsid w:val="00524234"/>
    <w:rsid w:val="00527DC5"/>
    <w:rsid w:val="00527EAF"/>
    <w:rsid w:val="005315D4"/>
    <w:rsid w:val="005363F7"/>
    <w:rsid w:val="00541B60"/>
    <w:rsid w:val="00550D8C"/>
    <w:rsid w:val="00553D3A"/>
    <w:rsid w:val="00555B2B"/>
    <w:rsid w:val="00557A4F"/>
    <w:rsid w:val="00557D9B"/>
    <w:rsid w:val="005607D8"/>
    <w:rsid w:val="0056183B"/>
    <w:rsid w:val="005623C4"/>
    <w:rsid w:val="0057224C"/>
    <w:rsid w:val="0057624C"/>
    <w:rsid w:val="005808BA"/>
    <w:rsid w:val="00581AE2"/>
    <w:rsid w:val="0058203C"/>
    <w:rsid w:val="00582CED"/>
    <w:rsid w:val="00595EE8"/>
    <w:rsid w:val="00596821"/>
    <w:rsid w:val="005A50FD"/>
    <w:rsid w:val="005A7224"/>
    <w:rsid w:val="005B4499"/>
    <w:rsid w:val="005C4DAF"/>
    <w:rsid w:val="005C737D"/>
    <w:rsid w:val="005D0513"/>
    <w:rsid w:val="005D065D"/>
    <w:rsid w:val="005D297D"/>
    <w:rsid w:val="005D2A03"/>
    <w:rsid w:val="005D555D"/>
    <w:rsid w:val="005D6B7D"/>
    <w:rsid w:val="005E2ACC"/>
    <w:rsid w:val="005E5B7D"/>
    <w:rsid w:val="005F0D77"/>
    <w:rsid w:val="005F3702"/>
    <w:rsid w:val="005F4601"/>
    <w:rsid w:val="005F556B"/>
    <w:rsid w:val="005F5EB2"/>
    <w:rsid w:val="006012A1"/>
    <w:rsid w:val="00601DE9"/>
    <w:rsid w:val="00607639"/>
    <w:rsid w:val="006144A0"/>
    <w:rsid w:val="00614FEC"/>
    <w:rsid w:val="006217D3"/>
    <w:rsid w:val="00623525"/>
    <w:rsid w:val="00624B04"/>
    <w:rsid w:val="00626709"/>
    <w:rsid w:val="00631683"/>
    <w:rsid w:val="00631E62"/>
    <w:rsid w:val="00633A54"/>
    <w:rsid w:val="00635899"/>
    <w:rsid w:val="00635FF4"/>
    <w:rsid w:val="00636957"/>
    <w:rsid w:val="0064149E"/>
    <w:rsid w:val="00652BEA"/>
    <w:rsid w:val="00653AB9"/>
    <w:rsid w:val="006557A7"/>
    <w:rsid w:val="006605EE"/>
    <w:rsid w:val="00660E73"/>
    <w:rsid w:val="006612EF"/>
    <w:rsid w:val="00666961"/>
    <w:rsid w:val="0067127E"/>
    <w:rsid w:val="006744AB"/>
    <w:rsid w:val="00675DF4"/>
    <w:rsid w:val="006773B5"/>
    <w:rsid w:val="00677D55"/>
    <w:rsid w:val="00683086"/>
    <w:rsid w:val="00683D61"/>
    <w:rsid w:val="00686415"/>
    <w:rsid w:val="00686697"/>
    <w:rsid w:val="006963E6"/>
    <w:rsid w:val="00696E3F"/>
    <w:rsid w:val="00697451"/>
    <w:rsid w:val="006A1274"/>
    <w:rsid w:val="006A1E90"/>
    <w:rsid w:val="006A5E40"/>
    <w:rsid w:val="006C0750"/>
    <w:rsid w:val="006C626B"/>
    <w:rsid w:val="006C6BBD"/>
    <w:rsid w:val="006D2E32"/>
    <w:rsid w:val="006D430B"/>
    <w:rsid w:val="006D75FC"/>
    <w:rsid w:val="006E069A"/>
    <w:rsid w:val="006E3B73"/>
    <w:rsid w:val="006E3FF9"/>
    <w:rsid w:val="006E4194"/>
    <w:rsid w:val="006E52BE"/>
    <w:rsid w:val="006F37C4"/>
    <w:rsid w:val="006F3DDD"/>
    <w:rsid w:val="006F7F6B"/>
    <w:rsid w:val="00700125"/>
    <w:rsid w:val="00705874"/>
    <w:rsid w:val="00706F1B"/>
    <w:rsid w:val="00707580"/>
    <w:rsid w:val="00711CD6"/>
    <w:rsid w:val="00713F5D"/>
    <w:rsid w:val="007274AE"/>
    <w:rsid w:val="00732755"/>
    <w:rsid w:val="007339A9"/>
    <w:rsid w:val="00733B63"/>
    <w:rsid w:val="00735D88"/>
    <w:rsid w:val="007367C7"/>
    <w:rsid w:val="00744EC4"/>
    <w:rsid w:val="00761D54"/>
    <w:rsid w:val="00762FA3"/>
    <w:rsid w:val="00763E9C"/>
    <w:rsid w:val="00765525"/>
    <w:rsid w:val="007728B8"/>
    <w:rsid w:val="00772ECE"/>
    <w:rsid w:val="00773851"/>
    <w:rsid w:val="00776394"/>
    <w:rsid w:val="00780D2A"/>
    <w:rsid w:val="00783F1F"/>
    <w:rsid w:val="007845EA"/>
    <w:rsid w:val="00785193"/>
    <w:rsid w:val="0078721E"/>
    <w:rsid w:val="007955D2"/>
    <w:rsid w:val="007A3762"/>
    <w:rsid w:val="007A43BE"/>
    <w:rsid w:val="007A7C20"/>
    <w:rsid w:val="007C2A1B"/>
    <w:rsid w:val="007D1254"/>
    <w:rsid w:val="007E73B2"/>
    <w:rsid w:val="007F1057"/>
    <w:rsid w:val="007F322F"/>
    <w:rsid w:val="00804785"/>
    <w:rsid w:val="0080508E"/>
    <w:rsid w:val="008058D1"/>
    <w:rsid w:val="008137B0"/>
    <w:rsid w:val="008204E2"/>
    <w:rsid w:val="008227A8"/>
    <w:rsid w:val="00822DF5"/>
    <w:rsid w:val="0082414A"/>
    <w:rsid w:val="00825498"/>
    <w:rsid w:val="00826F0B"/>
    <w:rsid w:val="008311EA"/>
    <w:rsid w:val="00836C0D"/>
    <w:rsid w:val="00841E30"/>
    <w:rsid w:val="00843C74"/>
    <w:rsid w:val="00843D97"/>
    <w:rsid w:val="00847879"/>
    <w:rsid w:val="00847CF1"/>
    <w:rsid w:val="008503C4"/>
    <w:rsid w:val="008533C0"/>
    <w:rsid w:val="00854E47"/>
    <w:rsid w:val="008563F3"/>
    <w:rsid w:val="00857B1A"/>
    <w:rsid w:val="00861487"/>
    <w:rsid w:val="0086281C"/>
    <w:rsid w:val="0087042F"/>
    <w:rsid w:val="008714CC"/>
    <w:rsid w:val="008A168A"/>
    <w:rsid w:val="008A5476"/>
    <w:rsid w:val="008A69F5"/>
    <w:rsid w:val="008B3B55"/>
    <w:rsid w:val="008B66FA"/>
    <w:rsid w:val="008B67B5"/>
    <w:rsid w:val="008B7E75"/>
    <w:rsid w:val="008C710C"/>
    <w:rsid w:val="008C7237"/>
    <w:rsid w:val="008D10B6"/>
    <w:rsid w:val="008D20EB"/>
    <w:rsid w:val="008E2115"/>
    <w:rsid w:val="008E2413"/>
    <w:rsid w:val="008E63B4"/>
    <w:rsid w:val="008F0C21"/>
    <w:rsid w:val="008F68EB"/>
    <w:rsid w:val="0091161D"/>
    <w:rsid w:val="00913FE1"/>
    <w:rsid w:val="00915B4E"/>
    <w:rsid w:val="0091601C"/>
    <w:rsid w:val="00917CF3"/>
    <w:rsid w:val="00920EC1"/>
    <w:rsid w:val="009215F4"/>
    <w:rsid w:val="009233DF"/>
    <w:rsid w:val="009260E4"/>
    <w:rsid w:val="00927C70"/>
    <w:rsid w:val="009305CC"/>
    <w:rsid w:val="0093198D"/>
    <w:rsid w:val="0093230B"/>
    <w:rsid w:val="00932635"/>
    <w:rsid w:val="0094122C"/>
    <w:rsid w:val="009420BA"/>
    <w:rsid w:val="00945895"/>
    <w:rsid w:val="009510F2"/>
    <w:rsid w:val="00957316"/>
    <w:rsid w:val="009654FE"/>
    <w:rsid w:val="00972140"/>
    <w:rsid w:val="009737EB"/>
    <w:rsid w:val="009742C1"/>
    <w:rsid w:val="00975F63"/>
    <w:rsid w:val="0098675E"/>
    <w:rsid w:val="00986E95"/>
    <w:rsid w:val="009921F2"/>
    <w:rsid w:val="009B0A97"/>
    <w:rsid w:val="009B295D"/>
    <w:rsid w:val="009B2CBE"/>
    <w:rsid w:val="009B4092"/>
    <w:rsid w:val="009B46F1"/>
    <w:rsid w:val="009B53CF"/>
    <w:rsid w:val="009B7945"/>
    <w:rsid w:val="009C031C"/>
    <w:rsid w:val="009C2043"/>
    <w:rsid w:val="009D5586"/>
    <w:rsid w:val="009D79F6"/>
    <w:rsid w:val="009E23EB"/>
    <w:rsid w:val="009E25C6"/>
    <w:rsid w:val="009E528B"/>
    <w:rsid w:val="009E5D87"/>
    <w:rsid w:val="009E735F"/>
    <w:rsid w:val="009E7767"/>
    <w:rsid w:val="009F0AEE"/>
    <w:rsid w:val="00A00477"/>
    <w:rsid w:val="00A15437"/>
    <w:rsid w:val="00A21D96"/>
    <w:rsid w:val="00A22D84"/>
    <w:rsid w:val="00A30CB8"/>
    <w:rsid w:val="00A30F49"/>
    <w:rsid w:val="00A31976"/>
    <w:rsid w:val="00A363E8"/>
    <w:rsid w:val="00A413B0"/>
    <w:rsid w:val="00A50768"/>
    <w:rsid w:val="00A567B0"/>
    <w:rsid w:val="00A57E52"/>
    <w:rsid w:val="00A6002B"/>
    <w:rsid w:val="00A61ADF"/>
    <w:rsid w:val="00A6219F"/>
    <w:rsid w:val="00A67007"/>
    <w:rsid w:val="00A86C09"/>
    <w:rsid w:val="00A87295"/>
    <w:rsid w:val="00A91934"/>
    <w:rsid w:val="00A94514"/>
    <w:rsid w:val="00AB3538"/>
    <w:rsid w:val="00AB6D30"/>
    <w:rsid w:val="00AC04B6"/>
    <w:rsid w:val="00AC25FC"/>
    <w:rsid w:val="00AC2EB1"/>
    <w:rsid w:val="00AD6775"/>
    <w:rsid w:val="00AE06F7"/>
    <w:rsid w:val="00AE1910"/>
    <w:rsid w:val="00AE389A"/>
    <w:rsid w:val="00AE7112"/>
    <w:rsid w:val="00AF5D3C"/>
    <w:rsid w:val="00B031AB"/>
    <w:rsid w:val="00B03278"/>
    <w:rsid w:val="00B0496A"/>
    <w:rsid w:val="00B05C6D"/>
    <w:rsid w:val="00B06E36"/>
    <w:rsid w:val="00B07A64"/>
    <w:rsid w:val="00B10B80"/>
    <w:rsid w:val="00B123AC"/>
    <w:rsid w:val="00B136CB"/>
    <w:rsid w:val="00B163D2"/>
    <w:rsid w:val="00B16D2D"/>
    <w:rsid w:val="00B21202"/>
    <w:rsid w:val="00B30057"/>
    <w:rsid w:val="00B305AE"/>
    <w:rsid w:val="00B32784"/>
    <w:rsid w:val="00B42D20"/>
    <w:rsid w:val="00B442DD"/>
    <w:rsid w:val="00B454C6"/>
    <w:rsid w:val="00B47A0A"/>
    <w:rsid w:val="00B52F0D"/>
    <w:rsid w:val="00B64927"/>
    <w:rsid w:val="00B65244"/>
    <w:rsid w:val="00B673E8"/>
    <w:rsid w:val="00B7109C"/>
    <w:rsid w:val="00B7398D"/>
    <w:rsid w:val="00B80EC1"/>
    <w:rsid w:val="00B8107D"/>
    <w:rsid w:val="00B85F3B"/>
    <w:rsid w:val="00B90AE3"/>
    <w:rsid w:val="00B946E1"/>
    <w:rsid w:val="00BA207F"/>
    <w:rsid w:val="00BA3181"/>
    <w:rsid w:val="00BB3943"/>
    <w:rsid w:val="00BB481D"/>
    <w:rsid w:val="00BC0CD0"/>
    <w:rsid w:val="00BC21CF"/>
    <w:rsid w:val="00BC44A9"/>
    <w:rsid w:val="00BC5AAC"/>
    <w:rsid w:val="00BD26D0"/>
    <w:rsid w:val="00BD2B95"/>
    <w:rsid w:val="00BD3D6A"/>
    <w:rsid w:val="00BD4CDA"/>
    <w:rsid w:val="00BD75B9"/>
    <w:rsid w:val="00BE008D"/>
    <w:rsid w:val="00BE12CC"/>
    <w:rsid w:val="00BE1DC0"/>
    <w:rsid w:val="00BE6EBC"/>
    <w:rsid w:val="00BE711D"/>
    <w:rsid w:val="00BF1A43"/>
    <w:rsid w:val="00C115E5"/>
    <w:rsid w:val="00C11E2B"/>
    <w:rsid w:val="00C13828"/>
    <w:rsid w:val="00C14551"/>
    <w:rsid w:val="00C15D85"/>
    <w:rsid w:val="00C2456E"/>
    <w:rsid w:val="00C31E7E"/>
    <w:rsid w:val="00C32724"/>
    <w:rsid w:val="00C36CCF"/>
    <w:rsid w:val="00C41608"/>
    <w:rsid w:val="00C43B88"/>
    <w:rsid w:val="00C44AA9"/>
    <w:rsid w:val="00C46BE6"/>
    <w:rsid w:val="00C4702F"/>
    <w:rsid w:val="00C50B04"/>
    <w:rsid w:val="00C50F90"/>
    <w:rsid w:val="00C5536B"/>
    <w:rsid w:val="00C55EA8"/>
    <w:rsid w:val="00C60376"/>
    <w:rsid w:val="00C6124F"/>
    <w:rsid w:val="00C63693"/>
    <w:rsid w:val="00C6724D"/>
    <w:rsid w:val="00C70888"/>
    <w:rsid w:val="00C76C83"/>
    <w:rsid w:val="00C84F00"/>
    <w:rsid w:val="00C87A65"/>
    <w:rsid w:val="00C90F99"/>
    <w:rsid w:val="00C91137"/>
    <w:rsid w:val="00C919D0"/>
    <w:rsid w:val="00C95CE2"/>
    <w:rsid w:val="00CA003B"/>
    <w:rsid w:val="00CA1489"/>
    <w:rsid w:val="00CA25F5"/>
    <w:rsid w:val="00CA2C5E"/>
    <w:rsid w:val="00CA45EC"/>
    <w:rsid w:val="00CA6642"/>
    <w:rsid w:val="00CB053F"/>
    <w:rsid w:val="00CB12E9"/>
    <w:rsid w:val="00CB3AEA"/>
    <w:rsid w:val="00CB6328"/>
    <w:rsid w:val="00CC20F3"/>
    <w:rsid w:val="00CC5A07"/>
    <w:rsid w:val="00CC7027"/>
    <w:rsid w:val="00CC733E"/>
    <w:rsid w:val="00CD0727"/>
    <w:rsid w:val="00CD14DD"/>
    <w:rsid w:val="00CE3069"/>
    <w:rsid w:val="00CF4C06"/>
    <w:rsid w:val="00CF7D21"/>
    <w:rsid w:val="00D035A3"/>
    <w:rsid w:val="00D073CE"/>
    <w:rsid w:val="00D078DF"/>
    <w:rsid w:val="00D15EF2"/>
    <w:rsid w:val="00D20C61"/>
    <w:rsid w:val="00D26028"/>
    <w:rsid w:val="00D262B5"/>
    <w:rsid w:val="00D342B5"/>
    <w:rsid w:val="00D34CE4"/>
    <w:rsid w:val="00D36570"/>
    <w:rsid w:val="00D37152"/>
    <w:rsid w:val="00D40B73"/>
    <w:rsid w:val="00D43AF1"/>
    <w:rsid w:val="00D47442"/>
    <w:rsid w:val="00D539A8"/>
    <w:rsid w:val="00D53B88"/>
    <w:rsid w:val="00D53FC2"/>
    <w:rsid w:val="00D57D23"/>
    <w:rsid w:val="00D60733"/>
    <w:rsid w:val="00D639C8"/>
    <w:rsid w:val="00D640F2"/>
    <w:rsid w:val="00D66E69"/>
    <w:rsid w:val="00D72745"/>
    <w:rsid w:val="00D74421"/>
    <w:rsid w:val="00D813D1"/>
    <w:rsid w:val="00D82B61"/>
    <w:rsid w:val="00D85C23"/>
    <w:rsid w:val="00D90DEB"/>
    <w:rsid w:val="00D91E71"/>
    <w:rsid w:val="00DA0402"/>
    <w:rsid w:val="00DA7CD9"/>
    <w:rsid w:val="00DB2181"/>
    <w:rsid w:val="00DB2A92"/>
    <w:rsid w:val="00DB63BD"/>
    <w:rsid w:val="00DB7C21"/>
    <w:rsid w:val="00DC341E"/>
    <w:rsid w:val="00DD667A"/>
    <w:rsid w:val="00DE2D01"/>
    <w:rsid w:val="00DE3564"/>
    <w:rsid w:val="00DE5CDD"/>
    <w:rsid w:val="00DE6189"/>
    <w:rsid w:val="00DE6700"/>
    <w:rsid w:val="00E05E41"/>
    <w:rsid w:val="00E0633E"/>
    <w:rsid w:val="00E06620"/>
    <w:rsid w:val="00E07189"/>
    <w:rsid w:val="00E163A5"/>
    <w:rsid w:val="00E255E0"/>
    <w:rsid w:val="00E2593F"/>
    <w:rsid w:val="00E25BC7"/>
    <w:rsid w:val="00E2781E"/>
    <w:rsid w:val="00E3455F"/>
    <w:rsid w:val="00E37230"/>
    <w:rsid w:val="00E37A84"/>
    <w:rsid w:val="00E47497"/>
    <w:rsid w:val="00E50128"/>
    <w:rsid w:val="00E50392"/>
    <w:rsid w:val="00E536E2"/>
    <w:rsid w:val="00E64A9E"/>
    <w:rsid w:val="00E72279"/>
    <w:rsid w:val="00E73E92"/>
    <w:rsid w:val="00E764AD"/>
    <w:rsid w:val="00E80CB4"/>
    <w:rsid w:val="00E848A0"/>
    <w:rsid w:val="00E9185B"/>
    <w:rsid w:val="00E92100"/>
    <w:rsid w:val="00E93B03"/>
    <w:rsid w:val="00E93E50"/>
    <w:rsid w:val="00E95446"/>
    <w:rsid w:val="00EA11D6"/>
    <w:rsid w:val="00EA3935"/>
    <w:rsid w:val="00EB07A5"/>
    <w:rsid w:val="00EB1360"/>
    <w:rsid w:val="00EB7780"/>
    <w:rsid w:val="00EC6185"/>
    <w:rsid w:val="00EC6512"/>
    <w:rsid w:val="00EC7E6B"/>
    <w:rsid w:val="00EE058A"/>
    <w:rsid w:val="00EE28B3"/>
    <w:rsid w:val="00EE708E"/>
    <w:rsid w:val="00EF1E70"/>
    <w:rsid w:val="00EF2049"/>
    <w:rsid w:val="00EF6009"/>
    <w:rsid w:val="00F0028F"/>
    <w:rsid w:val="00F0071B"/>
    <w:rsid w:val="00F00C08"/>
    <w:rsid w:val="00F01D6B"/>
    <w:rsid w:val="00F0205C"/>
    <w:rsid w:val="00F0786D"/>
    <w:rsid w:val="00F152BB"/>
    <w:rsid w:val="00F15493"/>
    <w:rsid w:val="00F211EE"/>
    <w:rsid w:val="00F23B9B"/>
    <w:rsid w:val="00F26BD8"/>
    <w:rsid w:val="00F34278"/>
    <w:rsid w:val="00F34D38"/>
    <w:rsid w:val="00F36683"/>
    <w:rsid w:val="00F36D09"/>
    <w:rsid w:val="00F41C97"/>
    <w:rsid w:val="00F52F69"/>
    <w:rsid w:val="00F5593E"/>
    <w:rsid w:val="00F63268"/>
    <w:rsid w:val="00F63BED"/>
    <w:rsid w:val="00F746BF"/>
    <w:rsid w:val="00F74844"/>
    <w:rsid w:val="00F85F8F"/>
    <w:rsid w:val="00F91F70"/>
    <w:rsid w:val="00F9290D"/>
    <w:rsid w:val="00F94136"/>
    <w:rsid w:val="00FA0109"/>
    <w:rsid w:val="00FA33EF"/>
    <w:rsid w:val="00FA7C2A"/>
    <w:rsid w:val="00FB4B22"/>
    <w:rsid w:val="00FC0915"/>
    <w:rsid w:val="00FC28FC"/>
    <w:rsid w:val="00FC4B59"/>
    <w:rsid w:val="00FC5050"/>
    <w:rsid w:val="00FC5291"/>
    <w:rsid w:val="00FC61C9"/>
    <w:rsid w:val="00FC76E4"/>
    <w:rsid w:val="00FD6038"/>
    <w:rsid w:val="00FD64B6"/>
    <w:rsid w:val="00FE5A5C"/>
    <w:rsid w:val="00FE65E6"/>
    <w:rsid w:val="00FE7DF6"/>
    <w:rsid w:val="00FF19F5"/>
    <w:rsid w:val="00FF1FCA"/>
    <w:rsid w:val="04394F15"/>
    <w:rsid w:val="092D4CA4"/>
    <w:rsid w:val="0EE61393"/>
    <w:rsid w:val="4AEB7A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iPriority="39" w:qFormat="1"/>
    <w:lsdException w:name="toc 2" w:uiPriority="39" w:qFormat="1"/>
    <w:lsdException w:name="toc 3" w:uiPriority="39" w:qFormat="1"/>
    <w:lsdException w:name="toc 4" w:uiPriority="39"/>
    <w:lsdException w:name="toc 5" w:uiPriority="39" w:unhideWhenUsed="1"/>
    <w:lsdException w:name="toc 6" w:uiPriority="39" w:unhideWhenUsed="1"/>
    <w:lsdException w:name="toc 7" w:uiPriority="39" w:unhideWhenUsed="1" w:qFormat="1"/>
    <w:lsdException w:name="toc 8" w:uiPriority="39" w:unhideWhenUsed="1" w:qFormat="1"/>
    <w:lsdException w:name="toc 9" w:uiPriority="39"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390" w:lineRule="exact"/>
      <w:ind w:firstLineChars="200" w:firstLine="560"/>
      <w:jc w:val="both"/>
    </w:pPr>
    <w:rPr>
      <w:rFonts w:ascii="Times New Roman" w:eastAsia="楷体_GB2312" w:hAnsi="Times New Roman"/>
      <w:kern w:val="2"/>
      <w:sz w:val="24"/>
      <w:szCs w:val="22"/>
    </w:rPr>
  </w:style>
  <w:style w:type="paragraph" w:styleId="1">
    <w:name w:val="heading 1"/>
    <w:basedOn w:val="a"/>
    <w:next w:val="a"/>
    <w:link w:val="1Char"/>
    <w:qFormat/>
    <w:pPr>
      <w:keepNext/>
      <w:keepLines/>
      <w:numPr>
        <w:numId w:val="1"/>
      </w:numPr>
      <w:tabs>
        <w:tab w:val="left" w:pos="0"/>
      </w:tabs>
      <w:ind w:firstLineChars="0" w:firstLine="0"/>
      <w:outlineLvl w:val="0"/>
    </w:pPr>
    <w:rPr>
      <w:rFonts w:eastAsia="宋体"/>
      <w:b/>
      <w:kern w:val="44"/>
      <w:sz w:val="28"/>
    </w:rPr>
  </w:style>
  <w:style w:type="paragraph" w:styleId="2">
    <w:name w:val="heading 2"/>
    <w:basedOn w:val="a"/>
    <w:next w:val="a"/>
    <w:link w:val="2Char"/>
    <w:unhideWhenUsed/>
    <w:qFormat/>
    <w:pPr>
      <w:keepNext/>
      <w:keepLines/>
      <w:numPr>
        <w:ilvl w:val="1"/>
        <w:numId w:val="1"/>
      </w:numPr>
      <w:tabs>
        <w:tab w:val="left" w:pos="1701"/>
      </w:tabs>
      <w:ind w:firstLineChars="0"/>
      <w:outlineLvl w:val="1"/>
    </w:pPr>
    <w:rPr>
      <w:rFonts w:ascii="Arial" w:eastAsia="宋体" w:hAnsi="Arial"/>
      <w:b/>
      <w:sz w:val="28"/>
    </w:rPr>
  </w:style>
  <w:style w:type="paragraph" w:styleId="3">
    <w:name w:val="heading 3"/>
    <w:basedOn w:val="a"/>
    <w:next w:val="a"/>
    <w:link w:val="3Char"/>
    <w:unhideWhenUsed/>
    <w:qFormat/>
    <w:pPr>
      <w:keepNext/>
      <w:keepLines/>
      <w:numPr>
        <w:numId w:val="2"/>
      </w:numPr>
      <w:tabs>
        <w:tab w:val="left" w:pos="309"/>
      </w:tabs>
      <w:ind w:left="0" w:firstLineChars="0" w:firstLine="0"/>
      <w:jc w:val="center"/>
      <w:outlineLvl w:val="2"/>
    </w:pPr>
    <w:rPr>
      <w:rFonts w:eastAsia="黑体"/>
      <w:b/>
      <w:sz w:val="28"/>
    </w:rPr>
  </w:style>
  <w:style w:type="paragraph" w:styleId="4">
    <w:name w:val="heading 4"/>
    <w:basedOn w:val="a"/>
    <w:next w:val="a"/>
    <w:link w:val="4Char"/>
    <w:unhideWhenUsed/>
    <w:qFormat/>
    <w:pPr>
      <w:keepNext/>
      <w:keepLines/>
      <w:numPr>
        <w:ilvl w:val="3"/>
        <w:numId w:val="1"/>
      </w:numPr>
      <w:spacing w:before="260" w:after="260"/>
      <w:ind w:firstLineChars="0" w:firstLine="0"/>
      <w:jc w:val="center"/>
      <w:outlineLvl w:val="3"/>
    </w:pPr>
    <w:rPr>
      <w:rFonts w:ascii="楷体_GB2312" w:hAnsi="楷体_GB2312" w:cs="楷体_GB2312"/>
    </w:rPr>
  </w:style>
  <w:style w:type="paragraph" w:styleId="5">
    <w:name w:val="heading 5"/>
    <w:basedOn w:val="a"/>
    <w:next w:val="a"/>
    <w:unhideWhenUsed/>
    <w:qFormat/>
    <w:pPr>
      <w:keepNext/>
      <w:keepLines/>
      <w:numPr>
        <w:ilvl w:val="4"/>
        <w:numId w:val="1"/>
      </w:numPr>
      <w:spacing w:line="372" w:lineRule="auto"/>
      <w:ind w:firstLineChars="0" w:firstLine="0"/>
      <w:outlineLvl w:val="4"/>
    </w:pPr>
    <w:rPr>
      <w:b/>
      <w:sz w:val="28"/>
    </w:rPr>
  </w:style>
  <w:style w:type="paragraph" w:styleId="6">
    <w:name w:val="heading 6"/>
    <w:basedOn w:val="a"/>
    <w:next w:val="a"/>
    <w:unhideWhenUsed/>
    <w:qFormat/>
    <w:pPr>
      <w:keepNext/>
      <w:keepLines/>
      <w:numPr>
        <w:ilvl w:val="5"/>
        <w:numId w:val="1"/>
      </w:numPr>
      <w:spacing w:line="317" w:lineRule="auto"/>
      <w:ind w:firstLineChars="0" w:firstLine="0"/>
      <w:outlineLvl w:val="5"/>
    </w:pPr>
    <w:rPr>
      <w:rFonts w:ascii="Arial" w:eastAsia="黑体" w:hAnsi="Arial"/>
      <w:b/>
    </w:rPr>
  </w:style>
  <w:style w:type="paragraph" w:styleId="7">
    <w:name w:val="heading 7"/>
    <w:basedOn w:val="a"/>
    <w:next w:val="a"/>
    <w:unhideWhenUsed/>
    <w:qFormat/>
    <w:pPr>
      <w:keepNext/>
      <w:keepLines/>
      <w:numPr>
        <w:ilvl w:val="6"/>
        <w:numId w:val="1"/>
      </w:numPr>
      <w:spacing w:line="317" w:lineRule="auto"/>
      <w:ind w:firstLineChars="0" w:firstLine="0"/>
      <w:outlineLvl w:val="6"/>
    </w:pPr>
    <w:rPr>
      <w:b/>
    </w:rPr>
  </w:style>
  <w:style w:type="paragraph" w:styleId="8">
    <w:name w:val="heading 8"/>
    <w:basedOn w:val="a"/>
    <w:next w:val="a"/>
    <w:unhideWhenUsed/>
    <w:qFormat/>
    <w:pPr>
      <w:keepNext/>
      <w:keepLines/>
      <w:numPr>
        <w:ilvl w:val="7"/>
        <w:numId w:val="1"/>
      </w:numPr>
      <w:spacing w:line="317" w:lineRule="auto"/>
      <w:ind w:firstLineChars="0" w:firstLine="0"/>
      <w:outlineLvl w:val="7"/>
    </w:pPr>
    <w:rPr>
      <w:rFonts w:ascii="Arial" w:eastAsia="黑体" w:hAnsi="Arial"/>
    </w:rPr>
  </w:style>
  <w:style w:type="paragraph" w:styleId="9">
    <w:name w:val="heading 9"/>
    <w:basedOn w:val="a"/>
    <w:next w:val="a"/>
    <w:unhideWhenUsed/>
    <w:qFormat/>
    <w:pPr>
      <w:keepNext/>
      <w:keepLines/>
      <w:numPr>
        <w:ilvl w:val="8"/>
        <w:numId w:val="1"/>
      </w:numPr>
      <w:spacing w:line="317" w:lineRule="auto"/>
      <w:ind w:firstLineChars="0" w:firstLine="0"/>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widowControl w:val="0"/>
      <w:spacing w:line="240" w:lineRule="auto"/>
      <w:ind w:leftChars="1200" w:left="2520" w:firstLineChars="0" w:firstLine="0"/>
    </w:pPr>
    <w:rPr>
      <w:rFonts w:asciiTheme="minorHAnsi" w:eastAsiaTheme="minorEastAsia" w:hAnsiTheme="minorHAnsi"/>
      <w:sz w:val="21"/>
    </w:rPr>
  </w:style>
  <w:style w:type="paragraph" w:styleId="50">
    <w:name w:val="toc 5"/>
    <w:basedOn w:val="a"/>
    <w:next w:val="a"/>
    <w:uiPriority w:val="39"/>
    <w:unhideWhenUsed/>
    <w:pPr>
      <w:widowControl w:val="0"/>
      <w:spacing w:line="240" w:lineRule="auto"/>
      <w:ind w:leftChars="800" w:left="1680" w:firstLineChars="0" w:firstLine="0"/>
    </w:pPr>
    <w:rPr>
      <w:rFonts w:asciiTheme="minorHAnsi" w:eastAsiaTheme="minorEastAsia" w:hAnsiTheme="minorHAnsi"/>
      <w:sz w:val="21"/>
    </w:rPr>
  </w:style>
  <w:style w:type="paragraph" w:styleId="30">
    <w:name w:val="toc 3"/>
    <w:basedOn w:val="a"/>
    <w:next w:val="a"/>
    <w:uiPriority w:val="39"/>
    <w:qFormat/>
    <w:pPr>
      <w:ind w:leftChars="400" w:left="840"/>
    </w:pPr>
  </w:style>
  <w:style w:type="paragraph" w:styleId="80">
    <w:name w:val="toc 8"/>
    <w:basedOn w:val="a"/>
    <w:next w:val="a"/>
    <w:uiPriority w:val="39"/>
    <w:unhideWhenUsed/>
    <w:qFormat/>
    <w:pPr>
      <w:widowControl w:val="0"/>
      <w:spacing w:line="240" w:lineRule="auto"/>
      <w:ind w:leftChars="1400" w:left="2940" w:firstLineChars="0" w:firstLine="0"/>
    </w:pPr>
    <w:rPr>
      <w:rFonts w:asciiTheme="minorHAnsi" w:eastAsiaTheme="minorEastAsia" w:hAnsiTheme="minorHAnsi"/>
      <w:sz w:val="21"/>
    </w:rPr>
  </w:style>
  <w:style w:type="paragraph" w:styleId="a3">
    <w:name w:val="Balloon Text"/>
    <w:basedOn w:val="a"/>
    <w:link w:val="Char"/>
    <w:qFormat/>
    <w:pPr>
      <w:spacing w:line="240" w:lineRule="auto"/>
    </w:pPr>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style>
  <w:style w:type="paragraph" w:styleId="40">
    <w:name w:val="toc 4"/>
    <w:basedOn w:val="a"/>
    <w:next w:val="a"/>
    <w:uiPriority w:val="39"/>
    <w:pPr>
      <w:ind w:leftChars="600" w:left="1260"/>
    </w:pPr>
  </w:style>
  <w:style w:type="paragraph" w:styleId="60">
    <w:name w:val="toc 6"/>
    <w:basedOn w:val="a"/>
    <w:next w:val="a"/>
    <w:uiPriority w:val="39"/>
    <w:unhideWhenUsed/>
    <w:pPr>
      <w:widowControl w:val="0"/>
      <w:spacing w:line="240" w:lineRule="auto"/>
      <w:ind w:leftChars="1000" w:left="2100" w:firstLineChars="0" w:firstLine="0"/>
    </w:pPr>
    <w:rPr>
      <w:rFonts w:asciiTheme="minorHAnsi" w:eastAsiaTheme="minorEastAsia" w:hAnsiTheme="minorHAnsi"/>
      <w:sz w:val="21"/>
    </w:rPr>
  </w:style>
  <w:style w:type="paragraph" w:styleId="20">
    <w:name w:val="toc 2"/>
    <w:basedOn w:val="a"/>
    <w:next w:val="a"/>
    <w:uiPriority w:val="39"/>
    <w:qFormat/>
    <w:pPr>
      <w:ind w:leftChars="200" w:left="420"/>
    </w:pPr>
  </w:style>
  <w:style w:type="paragraph" w:styleId="90">
    <w:name w:val="toc 9"/>
    <w:basedOn w:val="a"/>
    <w:next w:val="a"/>
    <w:uiPriority w:val="39"/>
    <w:unhideWhenUsed/>
    <w:qFormat/>
    <w:pPr>
      <w:widowControl w:val="0"/>
      <w:spacing w:line="240" w:lineRule="auto"/>
      <w:ind w:leftChars="1600" w:left="3360" w:firstLineChars="0" w:firstLine="0"/>
    </w:pPr>
    <w:rPr>
      <w:rFonts w:asciiTheme="minorHAnsi" w:eastAsiaTheme="minorEastAsia" w:hAnsiTheme="minorHAnsi"/>
      <w:sz w:val="21"/>
    </w:rPr>
  </w:style>
  <w:style w:type="paragraph" w:styleId="a6">
    <w:name w:val="Normal (Web)"/>
    <w:basedOn w:val="a"/>
    <w:uiPriority w:val="99"/>
    <w:pPr>
      <w:spacing w:before="100" w:beforeAutospacing="1" w:after="100" w:afterAutospacing="1"/>
      <w:ind w:firstLine="480"/>
      <w:contextualSpacing/>
      <w:jc w:val="left"/>
    </w:pPr>
    <w:rPr>
      <w:rFonts w:ascii="宋体" w:hAnsi="宋体" w:cs="宋体"/>
      <w:kern w:val="0"/>
      <w:szCs w:val="24"/>
    </w:rPr>
  </w:style>
  <w:style w:type="character" w:styleId="a7">
    <w:name w:val="Strong"/>
    <w:basedOn w:val="a0"/>
    <w:uiPriority w:val="22"/>
    <w:qFormat/>
    <w:rPr>
      <w:b/>
      <w:bCs/>
    </w:rPr>
  </w:style>
  <w:style w:type="character" w:styleId="a8">
    <w:name w:val="Hyperlink"/>
    <w:basedOn w:val="a0"/>
    <w:uiPriority w:val="99"/>
    <w:unhideWhenUsed/>
    <w:qFormat/>
    <w:rPr>
      <w:color w:val="0563C1" w:themeColor="hyperlink"/>
      <w:u w:val="single"/>
    </w:rPr>
  </w:style>
  <w:style w:type="character" w:customStyle="1" w:styleId="1Char">
    <w:name w:val="标题 1 Char"/>
    <w:link w:val="1"/>
    <w:rPr>
      <w:rFonts w:ascii="Times New Roman" w:eastAsia="宋体" w:hAnsi="Times New Roman"/>
      <w:b/>
      <w:kern w:val="44"/>
      <w:sz w:val="28"/>
      <w:szCs w:val="22"/>
    </w:rPr>
  </w:style>
  <w:style w:type="character" w:customStyle="1" w:styleId="3Char">
    <w:name w:val="标题 3 Char"/>
    <w:link w:val="3"/>
    <w:qFormat/>
    <w:rPr>
      <w:rFonts w:ascii="Times New Roman" w:eastAsia="黑体" w:hAnsi="Times New Roman"/>
      <w:b/>
      <w:kern w:val="2"/>
      <w:sz w:val="28"/>
      <w:szCs w:val="22"/>
    </w:rPr>
  </w:style>
  <w:style w:type="character" w:customStyle="1" w:styleId="Char">
    <w:name w:val="批注框文本 Char"/>
    <w:basedOn w:val="a0"/>
    <w:link w:val="a3"/>
    <w:qFormat/>
    <w:rPr>
      <w:rFonts w:ascii="Times New Roman" w:eastAsia="楷体_GB2312" w:hAnsi="Times New Roman"/>
      <w:kern w:val="2"/>
      <w:sz w:val="18"/>
      <w:szCs w:val="18"/>
    </w:rPr>
  </w:style>
  <w:style w:type="character" w:customStyle="1" w:styleId="Char1">
    <w:name w:val="页眉 Char"/>
    <w:basedOn w:val="a0"/>
    <w:link w:val="a5"/>
    <w:uiPriority w:val="99"/>
    <w:qFormat/>
    <w:rPr>
      <w:rFonts w:ascii="Times New Roman" w:eastAsia="楷体_GB2312" w:hAnsi="Times New Roman"/>
      <w:kern w:val="2"/>
      <w:sz w:val="18"/>
      <w:szCs w:val="22"/>
    </w:rPr>
  </w:style>
  <w:style w:type="character" w:customStyle="1" w:styleId="Char0">
    <w:name w:val="页脚 Char"/>
    <w:basedOn w:val="a0"/>
    <w:link w:val="a4"/>
    <w:uiPriority w:val="99"/>
    <w:qFormat/>
    <w:rPr>
      <w:rFonts w:ascii="Times New Roman" w:eastAsia="楷体_GB2312" w:hAnsi="Times New Roman"/>
      <w:kern w:val="2"/>
      <w:sz w:val="18"/>
      <w:szCs w:val="22"/>
    </w:rPr>
  </w:style>
  <w:style w:type="character" w:customStyle="1" w:styleId="2Char">
    <w:name w:val="标题 2 Char"/>
    <w:basedOn w:val="a0"/>
    <w:link w:val="2"/>
    <w:qFormat/>
    <w:rPr>
      <w:rFonts w:ascii="Arial" w:eastAsia="宋体" w:hAnsi="Arial"/>
      <w:b/>
      <w:kern w:val="2"/>
      <w:sz w:val="28"/>
      <w:szCs w:val="22"/>
    </w:rPr>
  </w:style>
  <w:style w:type="paragraph" w:customStyle="1" w:styleId="11">
    <w:name w:val="列出段落1"/>
    <w:basedOn w:val="a"/>
    <w:uiPriority w:val="34"/>
    <w:unhideWhenUsed/>
    <w:qFormat/>
    <w:pPr>
      <w:ind w:firstLine="420"/>
    </w:pPr>
  </w:style>
  <w:style w:type="paragraph" w:customStyle="1" w:styleId="TOC1">
    <w:name w:val="TOC 标题1"/>
    <w:basedOn w:val="1"/>
    <w:next w:val="a"/>
    <w:uiPriority w:val="39"/>
    <w:unhideWhenUsed/>
    <w:qFormat/>
    <w:pPr>
      <w:numPr>
        <w:numId w:val="0"/>
      </w:numPr>
      <w:tabs>
        <w:tab w:val="clear" w:pos="0"/>
      </w:tabs>
      <w:spacing w:before="480" w:line="276" w:lineRule="auto"/>
      <w:outlineLvl w:val="9"/>
    </w:pPr>
    <w:rPr>
      <w:rFonts w:asciiTheme="majorHAnsi" w:eastAsiaTheme="majorEastAsia" w:hAnsiTheme="majorHAnsi" w:cstheme="majorBidi"/>
      <w:bCs/>
      <w:color w:val="2E74B5" w:themeColor="accent1" w:themeShade="BF"/>
      <w:kern w:val="0"/>
      <w:szCs w:val="28"/>
    </w:rPr>
  </w:style>
  <w:style w:type="character" w:customStyle="1" w:styleId="4Char">
    <w:name w:val="标题 4 Char"/>
    <w:basedOn w:val="a0"/>
    <w:link w:val="4"/>
    <w:qFormat/>
    <w:rPr>
      <w:rFonts w:ascii="楷体_GB2312" w:eastAsia="楷体_GB2312" w:hAnsi="楷体_GB2312" w:cs="楷体_GB2312"/>
      <w:kern w:val="2"/>
      <w:sz w:val="24"/>
      <w:szCs w:val="22"/>
    </w:rPr>
  </w:style>
  <w:style w:type="paragraph" w:customStyle="1" w:styleId="Style1">
    <w:name w:val="_Style 1"/>
    <w:basedOn w:val="a"/>
    <w:uiPriority w:val="34"/>
    <w:qFormat/>
    <w:pPr>
      <w:widowControl w:val="0"/>
      <w:ind w:firstLine="420"/>
      <w:contextualSpacing/>
    </w:pPr>
    <w:rPr>
      <w:rFonts w:ascii="Calibri" w:hAnsi="Calibri" w:cs="Times New Roman"/>
      <w:sz w:val="21"/>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B322E3-A407-45DE-BE8C-59904BB8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1949</Words>
  <Characters>11113</Characters>
  <Application>Microsoft Office Word</Application>
  <DocSecurity>0</DocSecurity>
  <Lines>92</Lines>
  <Paragraphs>26</Paragraphs>
  <ScaleCrop>false</ScaleCrop>
  <Company>WIN</Company>
  <LinksUpToDate>false</LinksUpToDate>
  <CharactersWithSpaces>13036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268</cp:revision>
  <cp:lastPrinted>2017-09-29T01:23:00Z</cp:lastPrinted>
  <dcterms:created xsi:type="dcterms:W3CDTF">2017-06-12T07:50:00Z</dcterms:created>
  <dcterms:modified xsi:type="dcterms:W3CDTF">2017-10-09T08:55:00Z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