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F2" w:rsidRDefault="00785193">
      <w:pPr>
        <w:ind w:firstLineChars="0" w:firstLine="0"/>
        <w:rPr>
          <w:rFonts w:ascii="楷体_GB2312" w:hAnsi="楷体_GB2312" w:cs="楷体_GB2312"/>
          <w:bCs/>
        </w:rPr>
      </w:pPr>
      <w:r>
        <w:rPr>
          <w:rFonts w:cs="Times New Roman"/>
          <w:szCs w:val="24"/>
        </w:rPr>
        <w:pict>
          <v:shapetype id="_x0000_t202" coordsize="21600,21600" o:spt="202" path="m,l,21600r21600,l21600,xe">
            <v:stroke joinstyle="miter"/>
            <v:path gradientshapeok="t" o:connecttype="rect"/>
          </v:shapetype>
          <v:shape id="文本框 14" o:spid="_x0000_s1026" type="#_x0000_t202" style="position:absolute;left:0;text-align:left;margin-left:45pt;margin-top:20.1pt;width:90pt;height:54.6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" filled="f" stroked="f">
            <v:textbox>
              <w:txbxContent>
                <w:p w:rsidR="009510F2" w:rsidRDefault="00683086">
                  <w:pPr>
                    <w:spacing w:line="440" w:lineRule="exact"/>
                    <w:ind w:firstLineChars="0" w:firstLine="0"/>
                    <w:rPr>
                      <w:rFonts w:eastAsia="黑体"/>
                      <w:b/>
                      <w:bCs/>
                      <w:sz w:val="28"/>
                    </w:rPr>
                  </w:pPr>
                  <w:r>
                    <w:rPr>
                      <w:rFonts w:eastAsia="黑体" w:hint="eastAsia"/>
                      <w:b/>
                      <w:bCs/>
                      <w:sz w:val="28"/>
                    </w:rPr>
                    <w:t>内部信息</w:t>
                  </w:r>
                </w:p>
                <w:p w:rsidR="009510F2" w:rsidRDefault="00683086">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p>
    <w:p w:rsidR="009510F2" w:rsidRDefault="00683086">
      <w:pPr>
        <w:widowControl w:val="0"/>
        <w:spacing w:line="360" w:lineRule="auto"/>
        <w:ind w:firstLine="480"/>
        <w:contextualSpacing/>
        <w:jc w:val="center"/>
        <w:rPr>
          <w:rFonts w:eastAsia="华文行楷" w:cs="Times New Roman"/>
          <w:color w:val="000000"/>
          <w:spacing w:val="-24"/>
          <w:sz w:val="84"/>
          <w:szCs w:val="84"/>
        </w:rPr>
      </w:pPr>
      <w:bookmarkStart w:id="0" w:name="_Toc295507288"/>
      <w:bookmarkStart w:id="1" w:name="_Toc295507426"/>
      <w:bookmarkStart w:id="2" w:name="_Toc295507397"/>
      <w:r>
        <w:rPr>
          <w:rFonts w:cs="Times New Roman"/>
          <w:noProof/>
          <w:szCs w:val="24"/>
        </w:rPr>
        <w:drawing>
          <wp:anchor distT="0" distB="0" distL="114300" distR="114300" simplePos="0" relativeHeight="251660288" behindDoc="0" locked="0" layoutInCell="1" allowOverlap="1">
            <wp:simplePos x="0" y="0"/>
            <wp:positionH relativeFrom="column">
              <wp:posOffset>-571500</wp:posOffset>
            </wp:positionH>
            <wp:positionV relativeFrom="paragraph">
              <wp:posOffset>-297180</wp:posOffset>
            </wp:positionV>
            <wp:extent cx="1144905" cy="1141095"/>
            <wp:effectExtent l="0" t="0" r="0" b="1905"/>
            <wp:wrapTopAndBottom/>
            <wp:docPr id="13" name="图片 1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SW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44905" cy="1141095"/>
                    </a:xfrm>
                    <a:prstGeom prst="rect">
                      <a:avLst/>
                    </a:prstGeom>
                    <a:noFill/>
                    <a:ln>
                      <a:noFill/>
                    </a:ln>
                  </pic:spPr>
                </pic:pic>
              </a:graphicData>
            </a:graphic>
          </wp:anchor>
        </w:drawing>
      </w:r>
      <w:r>
        <w:rPr>
          <w:rFonts w:eastAsia="华文行楷" w:cs="Times New Roman" w:hint="eastAsia"/>
          <w:color w:val="000000"/>
          <w:spacing w:val="-24"/>
          <w:sz w:val="84"/>
          <w:szCs w:val="84"/>
        </w:rPr>
        <w:t>税收信息政策辅导</w:t>
      </w:r>
    </w:p>
    <w:p w:rsidR="009510F2" w:rsidRDefault="00785193">
      <w:pPr>
        <w:spacing w:line="360" w:lineRule="auto"/>
        <w:ind w:firstLine="482"/>
        <w:jc w:val="center"/>
        <w:rPr>
          <w:rFonts w:eastAsia="华文行楷"/>
          <w:color w:val="000000"/>
          <w:spacing w:val="-24"/>
          <w:sz w:val="84"/>
          <w:szCs w:val="84"/>
        </w:rPr>
      </w:pPr>
      <w:r>
        <w:rPr>
          <w:rFonts w:cs="Times New Roman"/>
          <w:b/>
          <w:szCs w:val="24"/>
        </w:rPr>
        <w:pict>
          <v:shape id="文本框 2" o:spid="_x0000_s1027" type="#_x0000_t202" style="position:absolute;left:0;text-align:left;margin-left:168pt;margin-top:21.4pt;width:55.55pt;height:55.5pt;z-index:25166336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" filled="f" stroked="f">
            <v:textbox>
              <w:txbxContent>
                <w:p w:rsidR="009510F2" w:rsidRDefault="00683086">
                  <w:pPr>
                    <w:spacing w:line="400" w:lineRule="exact"/>
                    <w:ind w:firstLineChars="0" w:firstLine="0"/>
                    <w:rPr>
                      <w:rFonts w:eastAsia="黑体"/>
                      <w:b/>
                      <w:bCs/>
                      <w:sz w:val="32"/>
                    </w:rPr>
                  </w:pPr>
                  <w:r>
                    <w:rPr>
                      <w:rFonts w:eastAsia="黑体" w:hint="eastAsia"/>
                      <w:b/>
                      <w:bCs/>
                      <w:sz w:val="32"/>
                    </w:rPr>
                    <w:t>欢迎</w:t>
                  </w:r>
                </w:p>
                <w:p w:rsidR="009510F2" w:rsidRDefault="00683086">
                  <w:pPr>
                    <w:spacing w:line="400" w:lineRule="exact"/>
                    <w:ind w:firstLineChars="0" w:firstLine="0"/>
                    <w:rPr>
                      <w:sz w:val="32"/>
                    </w:rPr>
                  </w:pPr>
                  <w:r>
                    <w:rPr>
                      <w:rFonts w:eastAsia="黑体" w:hint="eastAsia"/>
                      <w:b/>
                      <w:bCs/>
                      <w:sz w:val="32"/>
                    </w:rPr>
                    <w:t>咨询</w:t>
                  </w:r>
                </w:p>
              </w:txbxContent>
            </v:textbox>
          </v:shape>
        </w:pict>
      </w:r>
      <w:r w:rsidR="00683086">
        <w:rPr>
          <w:b/>
        </w:rPr>
        <w:t>201</w:t>
      </w:r>
      <w:r w:rsidR="00683086">
        <w:rPr>
          <w:rFonts w:hint="eastAsia"/>
          <w:b/>
        </w:rPr>
        <w:t>7</w:t>
      </w:r>
      <w:r w:rsidR="00683086">
        <w:rPr>
          <w:rFonts w:hint="eastAsia"/>
          <w:b/>
        </w:rPr>
        <w:t>年</w:t>
      </w:r>
      <w:r w:rsidR="00683086">
        <w:rPr>
          <w:rFonts w:hint="eastAsia"/>
          <w:b/>
        </w:rPr>
        <w:t>09</w:t>
      </w:r>
      <w:r w:rsidR="00683086">
        <w:rPr>
          <w:rFonts w:hint="eastAsia"/>
          <w:b/>
        </w:rPr>
        <w:t>月</w:t>
      </w:r>
      <w:r w:rsidR="00683086">
        <w:rPr>
          <w:rFonts w:hint="eastAsia"/>
          <w:b/>
        </w:rPr>
        <w:t>15</w:t>
      </w:r>
      <w:r w:rsidR="00683086">
        <w:rPr>
          <w:rFonts w:hint="eastAsia"/>
          <w:b/>
        </w:rPr>
        <w:t>日（第</w:t>
      </w:r>
      <w:r w:rsidR="00683086">
        <w:rPr>
          <w:rFonts w:hint="eastAsia"/>
          <w:b/>
        </w:rPr>
        <w:t>14</w:t>
      </w:r>
      <w:r w:rsidR="00683086">
        <w:rPr>
          <w:rFonts w:hint="eastAsia"/>
          <w:b/>
        </w:rPr>
        <w:t>期）</w:t>
      </w:r>
    </w:p>
    <w:p w:rsidR="009510F2" w:rsidRDefault="00683086">
      <w:pPr>
        <w:widowControl w:val="0"/>
        <w:spacing w:before="100" w:beforeAutospacing="1" w:after="100" w:afterAutospacing="1" w:line="340" w:lineRule="exact"/>
        <w:ind w:rightChars="-274" w:right="-658" w:firstLineChars="0" w:firstLine="0"/>
        <w:contextualSpacing/>
        <w:rPr>
          <w:rFonts w:cs="Times New Roman"/>
          <w:b/>
          <w:szCs w:val="24"/>
        </w:rPr>
      </w:pPr>
      <w:r>
        <w:rPr>
          <w:rFonts w:cs="Times New Roman" w:hint="eastAsia"/>
          <w:b/>
          <w:szCs w:val="24"/>
        </w:rPr>
        <w:t>宁</w:t>
      </w:r>
      <w:r>
        <w:rPr>
          <w:rFonts w:cs="Times New Roman" w:hint="eastAsia"/>
          <w:b/>
          <w:szCs w:val="24"/>
        </w:rPr>
        <w:t xml:space="preserve"> </w:t>
      </w:r>
      <w:r>
        <w:rPr>
          <w:rFonts w:cs="Times New Roman" w:hint="eastAsia"/>
          <w:b/>
          <w:szCs w:val="24"/>
        </w:rPr>
        <w:t>波</w:t>
      </w:r>
      <w:r>
        <w:rPr>
          <w:rFonts w:cs="Times New Roman" w:hint="eastAsia"/>
          <w:b/>
          <w:szCs w:val="24"/>
        </w:rPr>
        <w:t xml:space="preserve"> </w:t>
      </w:r>
      <w:r>
        <w:rPr>
          <w:rFonts w:cs="Times New Roman" w:hint="eastAsia"/>
          <w:b/>
          <w:szCs w:val="24"/>
        </w:rPr>
        <w:t>中</w:t>
      </w:r>
      <w:r>
        <w:rPr>
          <w:rFonts w:cs="Times New Roman" w:hint="eastAsia"/>
          <w:b/>
          <w:szCs w:val="24"/>
        </w:rPr>
        <w:t xml:space="preserve"> </w:t>
      </w:r>
      <w:r>
        <w:rPr>
          <w:rFonts w:cs="Times New Roman" w:hint="eastAsia"/>
          <w:b/>
          <w:szCs w:val="24"/>
        </w:rPr>
        <w:t>瑞</w:t>
      </w:r>
      <w:r>
        <w:rPr>
          <w:rFonts w:cs="Times New Roman" w:hint="eastAsia"/>
          <w:b/>
          <w:szCs w:val="24"/>
        </w:rPr>
        <w:t xml:space="preserve"> </w:t>
      </w:r>
      <w:r>
        <w:rPr>
          <w:rFonts w:cs="Times New Roman" w:hint="eastAsia"/>
          <w:b/>
          <w:szCs w:val="24"/>
        </w:rPr>
        <w:t>税</w:t>
      </w:r>
      <w:r>
        <w:rPr>
          <w:rFonts w:cs="Times New Roman" w:hint="eastAsia"/>
          <w:b/>
          <w:szCs w:val="24"/>
        </w:rPr>
        <w:t xml:space="preserve"> </w:t>
      </w:r>
      <w:proofErr w:type="gramStart"/>
      <w:r>
        <w:rPr>
          <w:rFonts w:cs="Times New Roman" w:hint="eastAsia"/>
          <w:b/>
          <w:szCs w:val="24"/>
        </w:rPr>
        <w:t>务</w:t>
      </w:r>
      <w:proofErr w:type="gramEnd"/>
      <w:r>
        <w:rPr>
          <w:rFonts w:cs="Times New Roman" w:hint="eastAsia"/>
          <w:b/>
          <w:szCs w:val="24"/>
        </w:rPr>
        <w:t xml:space="preserve"> </w:t>
      </w:r>
      <w:r>
        <w:rPr>
          <w:rFonts w:cs="Times New Roman" w:hint="eastAsia"/>
          <w:b/>
          <w:szCs w:val="24"/>
        </w:rPr>
        <w:t>师</w:t>
      </w:r>
      <w:r>
        <w:rPr>
          <w:rFonts w:cs="Times New Roman" w:hint="eastAsia"/>
          <w:b/>
          <w:szCs w:val="24"/>
        </w:rPr>
        <w:t xml:space="preserve"> </w:t>
      </w:r>
      <w:r>
        <w:rPr>
          <w:rFonts w:cs="Times New Roman" w:hint="eastAsia"/>
          <w:b/>
          <w:szCs w:val="24"/>
        </w:rPr>
        <w:t>事</w:t>
      </w:r>
      <w:r>
        <w:rPr>
          <w:rFonts w:cs="Times New Roman" w:hint="eastAsia"/>
          <w:b/>
          <w:szCs w:val="24"/>
        </w:rPr>
        <w:t xml:space="preserve"> </w:t>
      </w:r>
      <w:proofErr w:type="gramStart"/>
      <w:r>
        <w:rPr>
          <w:rFonts w:cs="Times New Roman" w:hint="eastAsia"/>
          <w:b/>
          <w:szCs w:val="24"/>
        </w:rPr>
        <w:t>务</w:t>
      </w:r>
      <w:proofErr w:type="gramEnd"/>
      <w:r>
        <w:rPr>
          <w:rFonts w:cs="Times New Roman" w:hint="eastAsia"/>
          <w:b/>
          <w:szCs w:val="24"/>
        </w:rPr>
        <w:t xml:space="preserve"> </w:t>
      </w:r>
      <w:r>
        <w:rPr>
          <w:rFonts w:cs="Times New Roman" w:hint="eastAsia"/>
          <w:b/>
          <w:szCs w:val="24"/>
        </w:rPr>
        <w:t>所</w:t>
      </w:r>
      <w:r>
        <w:rPr>
          <w:rFonts w:cs="Times New Roman" w:hint="eastAsia"/>
          <w:b/>
          <w:szCs w:val="24"/>
        </w:rPr>
        <w:t xml:space="preserve">      </w:t>
      </w:r>
      <w:r>
        <w:rPr>
          <w:rFonts w:cs="Times New Roman" w:hint="eastAsia"/>
          <w:b/>
          <w:szCs w:val="24"/>
        </w:rPr>
        <w:t>地址：中山西路</w:t>
      </w:r>
      <w:r>
        <w:rPr>
          <w:rFonts w:cs="Times New Roman"/>
          <w:b/>
          <w:szCs w:val="24"/>
        </w:rPr>
        <w:t>11</w:t>
      </w:r>
      <w:r>
        <w:rPr>
          <w:rFonts w:cs="Times New Roman" w:hint="eastAsia"/>
          <w:b/>
          <w:szCs w:val="24"/>
        </w:rPr>
        <w:t>号海</w:t>
      </w:r>
      <w:proofErr w:type="gramStart"/>
      <w:r>
        <w:rPr>
          <w:rFonts w:cs="Times New Roman" w:hint="eastAsia"/>
          <w:b/>
          <w:szCs w:val="24"/>
        </w:rPr>
        <w:t>曙</w:t>
      </w:r>
      <w:proofErr w:type="gramEnd"/>
      <w:r>
        <w:rPr>
          <w:rFonts w:cs="Times New Roman" w:hint="eastAsia"/>
          <w:b/>
          <w:szCs w:val="24"/>
        </w:rPr>
        <w:t>大厦</w:t>
      </w:r>
      <w:r>
        <w:rPr>
          <w:rFonts w:cs="Times New Roman"/>
          <w:b/>
          <w:szCs w:val="24"/>
        </w:rPr>
        <w:t>4</w:t>
      </w:r>
      <w:r>
        <w:rPr>
          <w:rFonts w:cs="Times New Roman" w:hint="eastAsia"/>
          <w:b/>
          <w:szCs w:val="24"/>
        </w:rPr>
        <w:t>楼</w:t>
      </w:r>
    </w:p>
    <w:p w:rsidR="009510F2" w:rsidRDefault="00683086">
      <w:pPr>
        <w:widowControl w:val="0"/>
        <w:spacing w:before="100" w:beforeAutospacing="1" w:after="100" w:afterAutospacing="1" w:line="340" w:lineRule="exact"/>
        <w:ind w:firstLineChars="1762" w:firstLine="4245"/>
        <w:contextualSpacing/>
        <w:rPr>
          <w:rFonts w:cs="Times New Roman"/>
          <w:b/>
          <w:szCs w:val="24"/>
        </w:rPr>
      </w:pPr>
      <w:r>
        <w:rPr>
          <w:rFonts w:cs="Times New Roman" w:hint="eastAsia"/>
          <w:b/>
          <w:szCs w:val="24"/>
        </w:rPr>
        <w:t>电话</w:t>
      </w:r>
      <w:r>
        <w:rPr>
          <w:rFonts w:cs="Times New Roman" w:hint="eastAsia"/>
          <w:b/>
          <w:szCs w:val="24"/>
        </w:rPr>
        <w:t>(</w:t>
      </w:r>
      <w:r>
        <w:rPr>
          <w:rFonts w:cs="Times New Roman" w:hint="eastAsia"/>
          <w:b/>
          <w:szCs w:val="24"/>
        </w:rPr>
        <w:t>传真</w:t>
      </w:r>
      <w:r>
        <w:rPr>
          <w:rFonts w:cs="Times New Roman"/>
          <w:b/>
          <w:szCs w:val="24"/>
        </w:rPr>
        <w:t>)</w:t>
      </w:r>
      <w:r>
        <w:rPr>
          <w:rFonts w:cs="Times New Roman" w:hint="eastAsia"/>
          <w:b/>
          <w:szCs w:val="24"/>
        </w:rPr>
        <w:t>：</w:t>
      </w:r>
      <w:r>
        <w:rPr>
          <w:rFonts w:cs="Times New Roman"/>
          <w:b/>
          <w:szCs w:val="24"/>
        </w:rPr>
        <w:t>87179210 87179200</w:t>
      </w:r>
      <w:r>
        <w:rPr>
          <w:rFonts w:cs="Times New Roman" w:hint="eastAsia"/>
          <w:b/>
          <w:szCs w:val="24"/>
        </w:rPr>
        <w:t>（原</w:t>
      </w:r>
      <w:r>
        <w:rPr>
          <w:rFonts w:cs="Times New Roman" w:hint="eastAsia"/>
          <w:b/>
          <w:szCs w:val="24"/>
        </w:rPr>
        <w:t xml:space="preserve"> </w:t>
      </w:r>
      <w:r>
        <w:rPr>
          <w:rFonts w:cs="Times New Roman" w:hint="eastAsia"/>
          <w:b/>
          <w:szCs w:val="24"/>
        </w:rPr>
        <w:t>宁</w:t>
      </w:r>
      <w:r>
        <w:rPr>
          <w:rFonts w:cs="Times New Roman" w:hint="eastAsia"/>
          <w:b/>
          <w:szCs w:val="24"/>
        </w:rPr>
        <w:t xml:space="preserve"> </w:t>
      </w:r>
      <w:r>
        <w:rPr>
          <w:rFonts w:cs="Times New Roman" w:hint="eastAsia"/>
          <w:b/>
          <w:szCs w:val="24"/>
        </w:rPr>
        <w:t>波</w:t>
      </w:r>
      <w:r>
        <w:rPr>
          <w:rFonts w:cs="Times New Roman" w:hint="eastAsia"/>
          <w:b/>
          <w:szCs w:val="24"/>
        </w:rPr>
        <w:t xml:space="preserve"> </w:t>
      </w:r>
      <w:r>
        <w:rPr>
          <w:rFonts w:cs="Times New Roman" w:hint="eastAsia"/>
          <w:b/>
          <w:szCs w:val="24"/>
        </w:rPr>
        <w:t>市</w:t>
      </w:r>
      <w:r>
        <w:rPr>
          <w:rFonts w:cs="Times New Roman" w:hint="eastAsia"/>
          <w:b/>
          <w:szCs w:val="24"/>
        </w:rPr>
        <w:t xml:space="preserve"> </w:t>
      </w:r>
      <w:r>
        <w:rPr>
          <w:rFonts w:cs="Times New Roman" w:hint="eastAsia"/>
          <w:b/>
          <w:szCs w:val="24"/>
        </w:rPr>
        <w:t>税</w:t>
      </w:r>
      <w:r>
        <w:rPr>
          <w:rFonts w:cs="Times New Roman" w:hint="eastAsia"/>
          <w:b/>
          <w:szCs w:val="24"/>
        </w:rPr>
        <w:t xml:space="preserve"> </w:t>
      </w:r>
      <w:proofErr w:type="gramStart"/>
      <w:r>
        <w:rPr>
          <w:rFonts w:cs="Times New Roman" w:hint="eastAsia"/>
          <w:b/>
          <w:szCs w:val="24"/>
        </w:rPr>
        <w:t>务</w:t>
      </w:r>
      <w:proofErr w:type="gramEnd"/>
      <w:r>
        <w:rPr>
          <w:rFonts w:cs="Times New Roman" w:hint="eastAsia"/>
          <w:b/>
          <w:szCs w:val="24"/>
        </w:rPr>
        <w:t xml:space="preserve"> </w:t>
      </w:r>
      <w:r>
        <w:rPr>
          <w:rFonts w:cs="Times New Roman" w:hint="eastAsia"/>
          <w:b/>
          <w:szCs w:val="24"/>
        </w:rPr>
        <w:t>师</w:t>
      </w:r>
      <w:r>
        <w:rPr>
          <w:rFonts w:cs="Times New Roman" w:hint="eastAsia"/>
          <w:b/>
          <w:szCs w:val="24"/>
        </w:rPr>
        <w:t xml:space="preserve"> </w:t>
      </w:r>
      <w:r>
        <w:rPr>
          <w:rFonts w:cs="Times New Roman" w:hint="eastAsia"/>
          <w:b/>
          <w:szCs w:val="24"/>
        </w:rPr>
        <w:t>事</w:t>
      </w:r>
      <w:r>
        <w:rPr>
          <w:rFonts w:cs="Times New Roman" w:hint="eastAsia"/>
          <w:b/>
          <w:szCs w:val="24"/>
        </w:rPr>
        <w:t xml:space="preserve"> </w:t>
      </w:r>
      <w:proofErr w:type="gramStart"/>
      <w:r>
        <w:rPr>
          <w:rFonts w:cs="Times New Roman" w:hint="eastAsia"/>
          <w:b/>
          <w:szCs w:val="24"/>
        </w:rPr>
        <w:t>务</w:t>
      </w:r>
      <w:proofErr w:type="gramEnd"/>
      <w:r>
        <w:rPr>
          <w:rFonts w:cs="Times New Roman" w:hint="eastAsia"/>
          <w:b/>
          <w:szCs w:val="24"/>
        </w:rPr>
        <w:t>所）</w:t>
      </w:r>
      <w:r>
        <w:rPr>
          <w:rFonts w:cs="Times New Roman" w:hint="eastAsia"/>
          <w:b/>
          <w:szCs w:val="24"/>
        </w:rPr>
        <w:t xml:space="preserve">     </w:t>
      </w:r>
      <w:r>
        <w:rPr>
          <w:rFonts w:cs="Times New Roman"/>
          <w:b/>
          <w:szCs w:val="24"/>
        </w:rPr>
        <w:t>E-mail</w:t>
      </w:r>
      <w:r>
        <w:rPr>
          <w:rFonts w:cs="Times New Roman" w:hint="eastAsia"/>
          <w:b/>
          <w:szCs w:val="24"/>
        </w:rPr>
        <w:t>：</w:t>
      </w:r>
      <w:r>
        <w:rPr>
          <w:rFonts w:cs="Times New Roman"/>
          <w:b/>
          <w:szCs w:val="24"/>
        </w:rPr>
        <w:t>info@cntax.cn</w:t>
      </w:r>
    </w:p>
    <w:bookmarkEnd w:id="0"/>
    <w:bookmarkEnd w:id="1"/>
    <w:bookmarkEnd w:id="2"/>
    <w:p w:rsidR="009510F2" w:rsidRDefault="00785193">
      <w:pPr>
        <w:widowControl w:val="0"/>
        <w:spacing w:line="340" w:lineRule="exact"/>
        <w:ind w:firstLine="480"/>
        <w:contextualSpacing/>
        <w:rPr>
          <w:rFonts w:ascii="黑体" w:eastAsia="黑体" w:cs="Times New Roman"/>
          <w:b/>
          <w:color w:val="000000"/>
          <w:sz w:val="32"/>
          <w:szCs w:val="24"/>
        </w:rPr>
      </w:pPr>
      <w:r>
        <w:rPr>
          <w:rFonts w:cs="Times New Roman"/>
          <w:szCs w:val="24"/>
        </w:rPr>
        <w:pict>
          <v:line id="直接连接符 11" o:spid="_x0000_s1028" style="position:absolute;left:0;text-align:left;flip:y;z-index:251659264;mso-width-relative:page;mso-height-relative:page" from="-.75pt,7.55pt" to="422.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" strokeweight="3pt"/>
        </w:pict>
      </w:r>
    </w:p>
    <w:p w:rsidR="009510F2" w:rsidRDefault="00683086">
      <w:pPr>
        <w:widowControl w:val="0"/>
        <w:spacing w:line="400" w:lineRule="exact"/>
        <w:ind w:firstLine="643"/>
        <w:contextualSpacing/>
        <w:jc w:val="center"/>
        <w:rPr>
          <w:rFonts w:ascii="仿宋_GB2312" w:eastAsia="仿宋_GB2312" w:hAnsi="宋体" w:cs="Times New Roman"/>
          <w:b/>
          <w:sz w:val="28"/>
          <w:szCs w:val="24"/>
        </w:rPr>
      </w:pPr>
      <w:r>
        <w:rPr>
          <w:rFonts w:ascii="黑体" w:eastAsia="黑体" w:cs="Times New Roman" w:hint="eastAsia"/>
          <w:b/>
          <w:color w:val="000000"/>
          <w:sz w:val="32"/>
          <w:szCs w:val="24"/>
        </w:rPr>
        <w:t>目</w:t>
      </w:r>
      <w:r w:rsidR="00F00C08">
        <w:rPr>
          <w:rFonts w:ascii="黑体" w:eastAsia="黑体" w:cs="Times New Roman" w:hint="eastAsia"/>
          <w:b/>
          <w:color w:val="000000"/>
          <w:sz w:val="32"/>
          <w:szCs w:val="24"/>
        </w:rPr>
        <w:t xml:space="preserve"> </w:t>
      </w:r>
      <w:r>
        <w:rPr>
          <w:rFonts w:ascii="黑体" w:eastAsia="黑体" w:cs="Times New Roman" w:hint="eastAsia"/>
          <w:b/>
          <w:color w:val="000000"/>
          <w:sz w:val="32"/>
          <w:szCs w:val="24"/>
        </w:rPr>
        <w:t>录</w:t>
      </w:r>
    </w:p>
    <w:p w:rsidR="009510F2" w:rsidRDefault="00683086" w:rsidP="00C15D85">
      <w:pPr>
        <w:pStyle w:val="10"/>
        <w:widowControl w:val="0"/>
        <w:numPr>
          <w:ilvl w:val="0"/>
          <w:numId w:val="6"/>
        </w:numPr>
        <w:tabs>
          <w:tab w:val="right" w:leader="dot" w:pos="7457"/>
        </w:tabs>
        <w:ind w:firstLineChars="0"/>
        <w:contextualSpacing/>
        <w:rPr>
          <w:rFonts w:ascii="楷体_GB2312" w:hAnsi="楷体_GB2312" w:cs="楷体_GB2312"/>
          <w:bCs/>
          <w:kern w:val="44"/>
          <w:szCs w:val="44"/>
        </w:rPr>
      </w:pPr>
      <w:r>
        <w:rPr>
          <w:rFonts w:ascii="仿宋_GB2312" w:eastAsia="仿宋_GB2312" w:hAnsi="宋体" w:hint="eastAsia"/>
          <w:b/>
          <w:sz w:val="28"/>
        </w:rPr>
        <w:t>税收法规</w:t>
      </w:r>
      <w:r>
        <w:rPr>
          <w:rFonts w:ascii="仿宋_GB2312" w:eastAsia="仿宋_GB2312" w:hAnsi="宋体"/>
          <w:b/>
          <w:sz w:val="28"/>
        </w:rPr>
        <w:fldChar w:fldCharType="begin"/>
      </w:r>
      <w:r>
        <w:rPr>
          <w:rFonts w:ascii="仿宋_GB2312" w:eastAsia="仿宋_GB2312" w:hAnsi="宋体" w:hint="eastAsia"/>
          <w:b/>
          <w:sz w:val="28"/>
        </w:rPr>
        <w:instrText>TOC \o "1-4" \h \z \u</w:instrText>
      </w:r>
      <w:r>
        <w:rPr>
          <w:rFonts w:ascii="仿宋_GB2312" w:eastAsia="仿宋_GB2312" w:hAnsi="宋体"/>
          <w:b/>
          <w:sz w:val="28"/>
        </w:rPr>
        <w:fldChar w:fldCharType="separate"/>
      </w:r>
    </w:p>
    <w:p w:rsidR="009510F2" w:rsidRDefault="00785193">
      <w:pPr>
        <w:pStyle w:val="30"/>
        <w:tabs>
          <w:tab w:val="right" w:leader="dot" w:pos="7564"/>
        </w:tabs>
        <w:ind w:leftChars="0" w:left="0" w:firstLineChars="0" w:firstLine="0"/>
        <w:rPr>
          <w:rFonts w:ascii="楷体_GB2312" w:hAnsi="楷体_GB2312" w:cs="楷体_GB2312"/>
        </w:rPr>
      </w:pPr>
      <w:hyperlink w:anchor="_Toc7384" w:history="1">
        <w:r w:rsidR="00683086">
          <w:rPr>
            <w:rFonts w:ascii="楷体_GB2312" w:hAnsi="楷体_GB2312" w:cs="楷体_GB2312"/>
          </w:rPr>
          <w:t xml:space="preserve">一、 </w:t>
        </w:r>
        <w:r w:rsidR="00683086">
          <w:rPr>
            <w:rFonts w:ascii="楷体_GB2312" w:hAnsi="楷体_GB2312" w:cs="楷体_GB2312" w:hint="eastAsia"/>
          </w:rPr>
          <w:t>国家税务总局关于《增值税一般纳税人资格 登记管理办法（征求意见稿）》公开征求意见的通知</w:t>
        </w:r>
      </w:hyperlink>
      <w:r w:rsidR="00683086">
        <w:rPr>
          <w:rFonts w:ascii="楷体_GB2312" w:hAnsi="楷体_GB2312" w:cs="楷体_GB2312" w:hint="eastAsia"/>
          <w:kern w:val="44"/>
          <w:szCs w:val="44"/>
        </w:rPr>
        <w:t>(</w:t>
      </w:r>
      <w:hyperlink w:anchor="_Toc20267" w:history="1">
        <w:r w:rsidR="00683086">
          <w:rPr>
            <w:rFonts w:ascii="楷体_GB2312" w:hAnsi="楷体_GB2312" w:cs="楷体_GB2312" w:hint="eastAsia"/>
          </w:rPr>
          <w:t>来源：国家税务总局政策法规司  2017-09-01)</w:t>
        </w:r>
        <w:r w:rsidR="00683086">
          <w:rPr>
            <w:rFonts w:ascii="楷体_GB2312" w:hAnsi="楷体_GB2312" w:cs="楷体_GB2312"/>
          </w:rPr>
          <w:tab/>
        </w:r>
        <w:r w:rsidR="00683086">
          <w:rPr>
            <w:rFonts w:ascii="楷体_GB2312" w:hAnsi="楷体_GB2312" w:cs="楷体_GB2312" w:hint="eastAsia"/>
          </w:rPr>
          <w:t>(</w:t>
        </w:r>
        <w:r w:rsidR="00683086">
          <w:rPr>
            <w:rFonts w:ascii="楷体_GB2312" w:hAnsi="楷体_GB2312" w:cs="楷体_GB2312"/>
          </w:rPr>
          <w:fldChar w:fldCharType="begin"/>
        </w:r>
        <w:r w:rsidR="00683086">
          <w:rPr>
            <w:rFonts w:ascii="楷体_GB2312" w:hAnsi="楷体_GB2312" w:cs="楷体_GB2312"/>
          </w:rPr>
          <w:instrText xml:space="preserve"> PAGEREF _Toc20267 </w:instrText>
        </w:r>
        <w:r w:rsidR="00683086">
          <w:rPr>
            <w:rFonts w:ascii="楷体_GB2312" w:hAnsi="楷体_GB2312" w:cs="楷体_GB2312"/>
          </w:rPr>
          <w:fldChar w:fldCharType="separate"/>
        </w:r>
        <w:r w:rsidR="00683086">
          <w:rPr>
            <w:rFonts w:ascii="楷体_GB2312" w:hAnsi="楷体_GB2312" w:cs="楷体_GB2312"/>
          </w:rPr>
          <w:t>1</w:t>
        </w:r>
        <w:r w:rsidR="00683086">
          <w:rPr>
            <w:rFonts w:ascii="楷体_GB2312" w:hAnsi="楷体_GB2312" w:cs="楷体_GB2312"/>
          </w:rPr>
          <w:fldChar w:fldCharType="end"/>
        </w:r>
      </w:hyperlink>
      <w:r w:rsidR="00683086">
        <w:rPr>
          <w:rFonts w:ascii="楷体_GB2312" w:hAnsi="楷体_GB2312" w:cs="楷体_GB2312" w:hint="eastAsia"/>
          <w:kern w:val="44"/>
          <w:szCs w:val="44"/>
        </w:rPr>
        <w:t>)</w:t>
      </w:r>
    </w:p>
    <w:p w:rsidR="009510F2" w:rsidRDefault="00785193">
      <w:pPr>
        <w:pStyle w:val="30"/>
        <w:tabs>
          <w:tab w:val="right" w:leader="dot" w:pos="7564"/>
        </w:tabs>
        <w:ind w:leftChars="0" w:left="0" w:firstLineChars="0" w:firstLine="0"/>
        <w:rPr>
          <w:rFonts w:ascii="楷体_GB2312" w:hAnsi="楷体_GB2312" w:cs="楷体_GB2312"/>
        </w:rPr>
      </w:pPr>
      <w:hyperlink w:anchor="_Toc9452" w:history="1">
        <w:r w:rsidR="00683086">
          <w:rPr>
            <w:rFonts w:ascii="楷体_GB2312" w:hAnsi="楷体_GB2312" w:cs="楷体_GB2312"/>
          </w:rPr>
          <w:t xml:space="preserve">二、 </w:t>
        </w:r>
        <w:r w:rsidR="00683086">
          <w:rPr>
            <w:rFonts w:ascii="楷体_GB2312" w:hAnsi="楷体_GB2312" w:cs="楷体_GB2312" w:hint="eastAsia"/>
          </w:rPr>
          <w:t>浙江省财政厅等4部门转发 财政部 税务总局 民政部关于继续实施 扶持自主就业退役士兵创业就业有关税收政策的通知</w:t>
        </w:r>
      </w:hyperlink>
      <w:r w:rsidR="00683086">
        <w:rPr>
          <w:rFonts w:ascii="楷体_GB2312" w:hAnsi="楷体_GB2312" w:cs="楷体_GB2312" w:hint="eastAsia"/>
          <w:kern w:val="44"/>
          <w:szCs w:val="44"/>
        </w:rPr>
        <w:t>(</w:t>
      </w:r>
      <w:hyperlink w:anchor="_Toc13743" w:history="1">
        <w:r w:rsidR="00683086">
          <w:rPr>
            <w:rFonts w:ascii="楷体_GB2312" w:hAnsi="楷体_GB2312" w:cs="楷体_GB2312" w:hint="eastAsia"/>
          </w:rPr>
          <w:t>浙财税政〔2017〕18号   2017-8-25)</w:t>
        </w:r>
        <w:r w:rsidR="00683086">
          <w:rPr>
            <w:rFonts w:ascii="楷体_GB2312" w:hAnsi="楷体_GB2312" w:cs="楷体_GB2312"/>
          </w:rPr>
          <w:tab/>
        </w:r>
        <w:r w:rsidR="00683086">
          <w:rPr>
            <w:rFonts w:ascii="楷体_GB2312" w:hAnsi="楷体_GB2312" w:cs="楷体_GB2312" w:hint="eastAsia"/>
          </w:rPr>
          <w:t>(</w:t>
        </w:r>
        <w:r w:rsidR="00683086">
          <w:rPr>
            <w:rFonts w:ascii="楷体_GB2312" w:hAnsi="楷体_GB2312" w:cs="楷体_GB2312"/>
          </w:rPr>
          <w:fldChar w:fldCharType="begin"/>
        </w:r>
        <w:r w:rsidR="00683086">
          <w:rPr>
            <w:rFonts w:ascii="楷体_GB2312" w:hAnsi="楷体_GB2312" w:cs="楷体_GB2312"/>
          </w:rPr>
          <w:instrText xml:space="preserve"> PAGEREF _Toc13743 </w:instrText>
        </w:r>
        <w:r w:rsidR="00683086">
          <w:rPr>
            <w:rFonts w:ascii="楷体_GB2312" w:hAnsi="楷体_GB2312" w:cs="楷体_GB2312"/>
          </w:rPr>
          <w:fldChar w:fldCharType="separate"/>
        </w:r>
        <w:r w:rsidR="00683086">
          <w:rPr>
            <w:rFonts w:ascii="楷体_GB2312" w:hAnsi="楷体_GB2312" w:cs="楷体_GB2312"/>
          </w:rPr>
          <w:t>1</w:t>
        </w:r>
        <w:r w:rsidR="00683086">
          <w:rPr>
            <w:rFonts w:ascii="楷体_GB2312" w:hAnsi="楷体_GB2312" w:cs="楷体_GB2312"/>
          </w:rPr>
          <w:fldChar w:fldCharType="end"/>
        </w:r>
      </w:hyperlink>
      <w:r w:rsidR="00683086">
        <w:rPr>
          <w:rFonts w:ascii="楷体_GB2312" w:hAnsi="楷体_GB2312" w:cs="楷体_GB2312" w:hint="eastAsia"/>
          <w:kern w:val="44"/>
          <w:szCs w:val="44"/>
        </w:rPr>
        <w:t>)</w:t>
      </w:r>
    </w:p>
    <w:p w:rsidR="009510F2" w:rsidRDefault="00785193">
      <w:pPr>
        <w:pStyle w:val="30"/>
        <w:tabs>
          <w:tab w:val="right" w:leader="dot" w:pos="7564"/>
        </w:tabs>
        <w:ind w:leftChars="0" w:left="0" w:firstLineChars="0" w:firstLine="0"/>
        <w:rPr>
          <w:rFonts w:ascii="楷体_GB2312" w:hAnsi="楷体_GB2312" w:cs="楷体_GB2312"/>
        </w:rPr>
      </w:pPr>
      <w:hyperlink w:anchor="_Toc1216" w:history="1">
        <w:r w:rsidR="00683086">
          <w:rPr>
            <w:rFonts w:ascii="楷体_GB2312" w:hAnsi="楷体_GB2312" w:cs="楷体_GB2312" w:hint="eastAsia"/>
          </w:rPr>
          <w:t>三、 国家税务总局 关于取消一批涉税事项和报送资料的通知</w:t>
        </w:r>
      </w:hyperlink>
      <w:r w:rsidR="00683086">
        <w:rPr>
          <w:rFonts w:ascii="楷体_GB2312" w:hAnsi="楷体_GB2312" w:cs="楷体_GB2312" w:hint="eastAsia"/>
          <w:kern w:val="44"/>
          <w:szCs w:val="44"/>
        </w:rPr>
        <w:t>(</w:t>
      </w:r>
      <w:hyperlink w:anchor="_Toc11566" w:history="1">
        <w:r w:rsidR="00683086">
          <w:rPr>
            <w:rFonts w:ascii="楷体_GB2312" w:hAnsi="楷体_GB2312" w:cs="楷体_GB2312" w:hint="eastAsia"/>
          </w:rPr>
          <w:t>税总函</w:t>
        </w:r>
        <w:r w:rsidR="00683086">
          <w:rPr>
            <w:rFonts w:ascii="楷体_GB2312" w:hAnsi="楷体_GB2312" w:cs="楷体_GB2312"/>
          </w:rPr>
          <w:t>[2017]403</w:t>
        </w:r>
        <w:r w:rsidR="00683086">
          <w:rPr>
            <w:rFonts w:ascii="楷体_GB2312" w:hAnsi="楷体_GB2312" w:cs="楷体_GB2312" w:hint="eastAsia"/>
          </w:rPr>
          <w:t xml:space="preserve">号  </w:t>
        </w:r>
        <w:r w:rsidR="00683086">
          <w:rPr>
            <w:rFonts w:ascii="楷体_GB2312" w:hAnsi="楷体_GB2312" w:cs="楷体_GB2312"/>
          </w:rPr>
          <w:t>2017</w:t>
        </w:r>
        <w:r w:rsidR="00683086">
          <w:rPr>
            <w:rFonts w:ascii="楷体_GB2312" w:hAnsi="楷体_GB2312" w:cs="楷体_GB2312" w:hint="eastAsia"/>
          </w:rPr>
          <w:t>-</w:t>
        </w:r>
        <w:r w:rsidR="00683086">
          <w:rPr>
            <w:rFonts w:ascii="楷体_GB2312" w:hAnsi="楷体_GB2312" w:cs="楷体_GB2312"/>
          </w:rPr>
          <w:t>9</w:t>
        </w:r>
        <w:r w:rsidR="00683086">
          <w:rPr>
            <w:rFonts w:ascii="楷体_GB2312" w:hAnsi="楷体_GB2312" w:cs="楷体_GB2312" w:hint="eastAsia"/>
          </w:rPr>
          <w:t>-</w:t>
        </w:r>
        <w:r w:rsidR="00683086">
          <w:rPr>
            <w:rFonts w:ascii="楷体_GB2312" w:hAnsi="楷体_GB2312" w:cs="楷体_GB2312"/>
          </w:rPr>
          <w:t>15</w:t>
        </w:r>
        <w:r w:rsidR="00683086">
          <w:rPr>
            <w:rFonts w:ascii="楷体_GB2312" w:hAnsi="楷体_GB2312" w:cs="楷体_GB2312" w:hint="eastAsia"/>
          </w:rPr>
          <w:t>)</w:t>
        </w:r>
        <w:r w:rsidR="00683086">
          <w:rPr>
            <w:rFonts w:ascii="楷体_GB2312" w:hAnsi="楷体_GB2312" w:cs="楷体_GB2312"/>
          </w:rPr>
          <w:tab/>
        </w:r>
        <w:r w:rsidR="00683086">
          <w:rPr>
            <w:rFonts w:ascii="楷体_GB2312" w:hAnsi="楷体_GB2312" w:cs="楷体_GB2312" w:hint="eastAsia"/>
          </w:rPr>
          <w:t>(</w:t>
        </w:r>
        <w:r w:rsidR="00683086">
          <w:rPr>
            <w:rFonts w:ascii="楷体_GB2312" w:hAnsi="楷体_GB2312" w:cs="楷体_GB2312"/>
          </w:rPr>
          <w:fldChar w:fldCharType="begin"/>
        </w:r>
        <w:r w:rsidR="00683086">
          <w:rPr>
            <w:rFonts w:ascii="楷体_GB2312" w:hAnsi="楷体_GB2312" w:cs="楷体_GB2312"/>
          </w:rPr>
          <w:instrText xml:space="preserve"> PAGEREF _Toc11566 </w:instrText>
        </w:r>
        <w:r w:rsidR="00683086">
          <w:rPr>
            <w:rFonts w:ascii="楷体_GB2312" w:hAnsi="楷体_GB2312" w:cs="楷体_GB2312"/>
          </w:rPr>
          <w:fldChar w:fldCharType="separate"/>
        </w:r>
        <w:r w:rsidR="00683086">
          <w:rPr>
            <w:rFonts w:ascii="楷体_GB2312" w:hAnsi="楷体_GB2312" w:cs="楷体_GB2312"/>
          </w:rPr>
          <w:t>2</w:t>
        </w:r>
        <w:r w:rsidR="00683086">
          <w:rPr>
            <w:rFonts w:ascii="楷体_GB2312" w:hAnsi="楷体_GB2312" w:cs="楷体_GB2312"/>
          </w:rPr>
          <w:fldChar w:fldCharType="end"/>
        </w:r>
      </w:hyperlink>
      <w:r w:rsidR="00683086">
        <w:rPr>
          <w:rFonts w:ascii="楷体_GB2312" w:hAnsi="楷体_GB2312" w:cs="楷体_GB2312" w:hint="eastAsia"/>
          <w:kern w:val="44"/>
          <w:szCs w:val="44"/>
        </w:rPr>
        <w:t>)</w:t>
      </w:r>
    </w:p>
    <w:p w:rsidR="009510F2" w:rsidRDefault="00785193">
      <w:pPr>
        <w:pStyle w:val="30"/>
        <w:tabs>
          <w:tab w:val="right" w:leader="dot" w:pos="7564"/>
        </w:tabs>
        <w:ind w:leftChars="0" w:left="0" w:firstLineChars="0" w:firstLine="0"/>
        <w:rPr>
          <w:rFonts w:ascii="楷体_GB2312" w:hAnsi="楷体_GB2312" w:cs="楷体_GB2312"/>
        </w:rPr>
      </w:pPr>
      <w:hyperlink w:anchor="_Toc26099" w:history="1">
        <w:r w:rsidR="00683086">
          <w:rPr>
            <w:rFonts w:ascii="楷体_GB2312" w:hAnsi="楷体_GB2312" w:cs="楷体_GB2312" w:hint="eastAsia"/>
          </w:rPr>
          <w:t>四、 国家税务总局关于跨省经营企业涉税事项全国通办的通知</w:t>
        </w:r>
      </w:hyperlink>
      <w:r w:rsidR="00683086">
        <w:rPr>
          <w:rFonts w:ascii="楷体_GB2312" w:hAnsi="楷体_GB2312" w:cs="楷体_GB2312" w:hint="eastAsia"/>
          <w:kern w:val="44"/>
          <w:szCs w:val="44"/>
        </w:rPr>
        <w:t>(</w:t>
      </w:r>
      <w:hyperlink w:anchor="_Toc3236" w:history="1">
        <w:r w:rsidR="00683086">
          <w:rPr>
            <w:rFonts w:ascii="楷体_GB2312" w:hAnsi="楷体_GB2312" w:cs="楷体_GB2312" w:hint="eastAsia"/>
          </w:rPr>
          <w:t>税总发</w:t>
        </w:r>
        <w:r w:rsidR="00683086">
          <w:rPr>
            <w:rFonts w:ascii="楷体_GB2312" w:hAnsi="楷体_GB2312" w:cs="楷体_GB2312"/>
          </w:rPr>
          <w:t>[2017]102</w:t>
        </w:r>
        <w:r w:rsidR="00683086">
          <w:rPr>
            <w:rFonts w:ascii="楷体_GB2312" w:hAnsi="楷体_GB2312" w:cs="楷体_GB2312" w:hint="eastAsia"/>
          </w:rPr>
          <w:t xml:space="preserve">号  </w:t>
        </w:r>
        <w:r w:rsidR="00683086">
          <w:rPr>
            <w:rFonts w:ascii="楷体_GB2312" w:hAnsi="楷体_GB2312" w:cs="楷体_GB2312"/>
          </w:rPr>
          <w:t>2017</w:t>
        </w:r>
        <w:r w:rsidR="00683086">
          <w:rPr>
            <w:rFonts w:ascii="楷体_GB2312" w:hAnsi="楷体_GB2312" w:cs="楷体_GB2312" w:hint="eastAsia"/>
          </w:rPr>
          <w:t>-0</w:t>
        </w:r>
        <w:r w:rsidR="00683086">
          <w:rPr>
            <w:rFonts w:ascii="楷体_GB2312" w:hAnsi="楷体_GB2312" w:cs="楷体_GB2312"/>
          </w:rPr>
          <w:t>9</w:t>
        </w:r>
        <w:r w:rsidR="00683086">
          <w:rPr>
            <w:rFonts w:ascii="楷体_GB2312" w:hAnsi="楷体_GB2312" w:cs="楷体_GB2312" w:hint="eastAsia"/>
          </w:rPr>
          <w:t>-0</w:t>
        </w:r>
        <w:r w:rsidR="00683086">
          <w:rPr>
            <w:rFonts w:ascii="楷体_GB2312" w:hAnsi="楷体_GB2312" w:cs="楷体_GB2312"/>
          </w:rPr>
          <w:t>7</w:t>
        </w:r>
        <w:r w:rsidR="00683086">
          <w:rPr>
            <w:rFonts w:ascii="楷体_GB2312" w:hAnsi="楷体_GB2312" w:cs="楷体_GB2312" w:hint="eastAsia"/>
          </w:rPr>
          <w:t>)</w:t>
        </w:r>
        <w:r w:rsidR="00683086">
          <w:rPr>
            <w:rFonts w:ascii="楷体_GB2312" w:hAnsi="楷体_GB2312" w:cs="楷体_GB2312"/>
          </w:rPr>
          <w:tab/>
        </w:r>
        <w:r w:rsidR="00683086">
          <w:rPr>
            <w:rFonts w:ascii="楷体_GB2312" w:hAnsi="楷体_GB2312" w:cs="楷体_GB2312" w:hint="eastAsia"/>
          </w:rPr>
          <w:t>(</w:t>
        </w:r>
        <w:r w:rsidR="00683086">
          <w:rPr>
            <w:rFonts w:ascii="楷体_GB2312" w:hAnsi="楷体_GB2312" w:cs="楷体_GB2312"/>
          </w:rPr>
          <w:fldChar w:fldCharType="begin"/>
        </w:r>
        <w:r w:rsidR="00683086">
          <w:rPr>
            <w:rFonts w:ascii="楷体_GB2312" w:hAnsi="楷体_GB2312" w:cs="楷体_GB2312"/>
          </w:rPr>
          <w:instrText xml:space="preserve"> PAGEREF _Toc3236 </w:instrText>
        </w:r>
        <w:r w:rsidR="00683086">
          <w:rPr>
            <w:rFonts w:ascii="楷体_GB2312" w:hAnsi="楷体_GB2312" w:cs="楷体_GB2312"/>
          </w:rPr>
          <w:fldChar w:fldCharType="separate"/>
        </w:r>
        <w:r w:rsidR="00683086">
          <w:rPr>
            <w:rFonts w:ascii="楷体_GB2312" w:hAnsi="楷体_GB2312" w:cs="楷体_GB2312"/>
          </w:rPr>
          <w:t>3</w:t>
        </w:r>
        <w:r w:rsidR="00683086">
          <w:rPr>
            <w:rFonts w:ascii="楷体_GB2312" w:hAnsi="楷体_GB2312" w:cs="楷体_GB2312"/>
          </w:rPr>
          <w:fldChar w:fldCharType="end"/>
        </w:r>
      </w:hyperlink>
      <w:r w:rsidR="00683086">
        <w:rPr>
          <w:rFonts w:ascii="楷体_GB2312" w:hAnsi="楷体_GB2312" w:cs="楷体_GB2312" w:hint="eastAsia"/>
          <w:kern w:val="44"/>
          <w:szCs w:val="44"/>
        </w:rPr>
        <w:t>)</w:t>
      </w:r>
    </w:p>
    <w:p w:rsidR="009510F2" w:rsidRDefault="00785193">
      <w:pPr>
        <w:pStyle w:val="30"/>
        <w:tabs>
          <w:tab w:val="right" w:leader="dot" w:pos="7564"/>
        </w:tabs>
        <w:ind w:leftChars="0" w:left="0" w:firstLineChars="0" w:firstLine="0"/>
        <w:rPr>
          <w:rFonts w:ascii="楷体_GB2312" w:hAnsi="楷体_GB2312" w:cs="楷体_GB2312"/>
        </w:rPr>
      </w:pPr>
      <w:hyperlink w:anchor="_Toc12291" w:history="1">
        <w:r w:rsidR="00683086">
          <w:rPr>
            <w:rFonts w:ascii="楷体_GB2312" w:hAnsi="楷体_GB2312" w:cs="楷体_GB2312" w:hint="eastAsia"/>
          </w:rPr>
          <w:t>五、 财政部 国家税务总局关于调整铁路 和航空运输企业汇总缴纳增值税分支机构名单的通知</w:t>
        </w:r>
      </w:hyperlink>
      <w:r w:rsidR="00683086">
        <w:rPr>
          <w:rFonts w:ascii="楷体_GB2312" w:hAnsi="楷体_GB2312" w:cs="楷体_GB2312" w:hint="eastAsia"/>
          <w:kern w:val="44"/>
          <w:szCs w:val="44"/>
        </w:rPr>
        <w:t>(</w:t>
      </w:r>
      <w:hyperlink w:anchor="_Toc8260" w:history="1">
        <w:r w:rsidR="00683086">
          <w:rPr>
            <w:rFonts w:ascii="楷体_GB2312" w:hAnsi="楷体_GB2312" w:cs="楷体_GB2312" w:hint="eastAsia"/>
          </w:rPr>
          <w:t xml:space="preserve">财税〔2017〕67号  </w:t>
        </w:r>
        <w:r w:rsidR="00683086">
          <w:rPr>
            <w:rFonts w:ascii="楷体_GB2312" w:hAnsi="楷体_GB2312" w:cs="楷体_GB2312"/>
          </w:rPr>
          <w:t>2017</w:t>
        </w:r>
        <w:r w:rsidR="00683086">
          <w:rPr>
            <w:rFonts w:ascii="楷体_GB2312" w:hAnsi="楷体_GB2312" w:cs="楷体_GB2312" w:hint="eastAsia"/>
          </w:rPr>
          <w:t>-</w:t>
        </w:r>
        <w:r w:rsidR="00683086">
          <w:rPr>
            <w:rFonts w:ascii="楷体_GB2312" w:hAnsi="楷体_GB2312" w:cs="楷体_GB2312"/>
          </w:rPr>
          <w:t>8</w:t>
        </w:r>
        <w:r w:rsidR="00683086">
          <w:rPr>
            <w:rFonts w:ascii="楷体_GB2312" w:hAnsi="楷体_GB2312" w:cs="楷体_GB2312" w:hint="eastAsia"/>
          </w:rPr>
          <w:t>-</w:t>
        </w:r>
        <w:r w:rsidR="00683086">
          <w:rPr>
            <w:rFonts w:ascii="楷体_GB2312" w:hAnsi="楷体_GB2312" w:cs="楷体_GB2312"/>
          </w:rPr>
          <w:t>22</w:t>
        </w:r>
        <w:r w:rsidR="00683086">
          <w:rPr>
            <w:rFonts w:ascii="楷体_GB2312" w:hAnsi="楷体_GB2312" w:cs="楷体_GB2312" w:hint="eastAsia"/>
          </w:rPr>
          <w:t>)</w:t>
        </w:r>
        <w:r w:rsidR="00683086">
          <w:rPr>
            <w:rFonts w:ascii="楷体_GB2312" w:hAnsi="楷体_GB2312" w:cs="楷体_GB2312"/>
          </w:rPr>
          <w:tab/>
        </w:r>
        <w:r w:rsidR="00683086">
          <w:rPr>
            <w:rFonts w:ascii="楷体_GB2312" w:hAnsi="楷体_GB2312" w:cs="楷体_GB2312" w:hint="eastAsia"/>
          </w:rPr>
          <w:t>(</w:t>
        </w:r>
        <w:r w:rsidR="00683086">
          <w:rPr>
            <w:rFonts w:ascii="楷体_GB2312" w:hAnsi="楷体_GB2312" w:cs="楷体_GB2312"/>
          </w:rPr>
          <w:fldChar w:fldCharType="begin"/>
        </w:r>
        <w:r w:rsidR="00683086">
          <w:rPr>
            <w:rFonts w:ascii="楷体_GB2312" w:hAnsi="楷体_GB2312" w:cs="楷体_GB2312"/>
          </w:rPr>
          <w:instrText xml:space="preserve"> PAGEREF _Toc8260 </w:instrText>
        </w:r>
        <w:r w:rsidR="00683086">
          <w:rPr>
            <w:rFonts w:ascii="楷体_GB2312" w:hAnsi="楷体_GB2312" w:cs="楷体_GB2312"/>
          </w:rPr>
          <w:fldChar w:fldCharType="separate"/>
        </w:r>
        <w:r w:rsidR="00683086">
          <w:rPr>
            <w:rFonts w:ascii="楷体_GB2312" w:hAnsi="楷体_GB2312" w:cs="楷体_GB2312"/>
          </w:rPr>
          <w:t>5</w:t>
        </w:r>
        <w:r w:rsidR="00683086">
          <w:rPr>
            <w:rFonts w:ascii="楷体_GB2312" w:hAnsi="楷体_GB2312" w:cs="楷体_GB2312"/>
          </w:rPr>
          <w:fldChar w:fldCharType="end"/>
        </w:r>
      </w:hyperlink>
      <w:r w:rsidR="00683086">
        <w:rPr>
          <w:rFonts w:ascii="楷体_GB2312" w:hAnsi="楷体_GB2312" w:cs="楷体_GB2312" w:hint="eastAsia"/>
          <w:kern w:val="44"/>
          <w:szCs w:val="44"/>
        </w:rPr>
        <w:t>)</w:t>
      </w:r>
    </w:p>
    <w:p w:rsidR="00F00C08" w:rsidRPr="00F00C08" w:rsidRDefault="00F00C08" w:rsidP="00C15D85">
      <w:pPr>
        <w:pStyle w:val="30"/>
        <w:numPr>
          <w:ilvl w:val="0"/>
          <w:numId w:val="6"/>
        </w:numPr>
        <w:tabs>
          <w:tab w:val="right" w:leader="dot" w:pos="7564"/>
        </w:tabs>
        <w:ind w:leftChars="0" w:firstLineChars="0"/>
        <w:rPr>
          <w:rFonts w:ascii="仿宋_GB2312" w:eastAsia="仿宋_GB2312" w:hAnsi="宋体"/>
          <w:b/>
          <w:sz w:val="28"/>
        </w:rPr>
      </w:pPr>
      <w:r w:rsidRPr="00F00C08">
        <w:rPr>
          <w:rFonts w:ascii="仿宋_GB2312" w:eastAsia="仿宋_GB2312" w:hAnsi="宋体" w:hint="eastAsia"/>
          <w:b/>
          <w:sz w:val="28"/>
        </w:rPr>
        <w:t>相关法规</w:t>
      </w:r>
    </w:p>
    <w:p w:rsidR="00F00C08" w:rsidRDefault="00F00C08">
      <w:pPr>
        <w:pStyle w:val="30"/>
        <w:tabs>
          <w:tab w:val="right" w:leader="dot" w:pos="7564"/>
        </w:tabs>
        <w:ind w:leftChars="0" w:left="0" w:firstLineChars="0" w:firstLine="0"/>
        <w:rPr>
          <w:rFonts w:hint="eastAsia"/>
        </w:rPr>
      </w:pPr>
    </w:p>
    <w:p w:rsidR="00F00C08" w:rsidRDefault="00F00C08">
      <w:pPr>
        <w:pStyle w:val="30"/>
        <w:tabs>
          <w:tab w:val="right" w:leader="dot" w:pos="7564"/>
        </w:tabs>
        <w:ind w:leftChars="0" w:left="0" w:firstLineChars="0" w:firstLine="0"/>
        <w:rPr>
          <w:rFonts w:hint="eastAsia"/>
        </w:rPr>
      </w:pPr>
    </w:p>
    <w:p w:rsidR="009510F2" w:rsidRDefault="00785193">
      <w:pPr>
        <w:pStyle w:val="30"/>
        <w:tabs>
          <w:tab w:val="right" w:leader="dot" w:pos="7564"/>
        </w:tabs>
        <w:ind w:leftChars="0" w:left="0" w:firstLineChars="0" w:firstLine="0"/>
        <w:rPr>
          <w:rFonts w:ascii="楷体_GB2312" w:hAnsi="楷体_GB2312" w:cs="楷体_GB2312"/>
        </w:rPr>
      </w:pPr>
      <w:hyperlink w:anchor="_Toc7764" w:history="1">
        <w:r w:rsidR="00683086">
          <w:rPr>
            <w:rFonts w:ascii="楷体_GB2312" w:hAnsi="楷体_GB2312" w:cs="楷体_GB2312"/>
          </w:rPr>
          <w:t xml:space="preserve">六、 </w:t>
        </w:r>
        <w:r w:rsidR="00683086">
          <w:rPr>
            <w:rFonts w:ascii="楷体_GB2312" w:hAnsi="楷体_GB2312" w:cs="楷体_GB2312" w:hint="eastAsia"/>
          </w:rPr>
          <w:t>国家税务总局关于进一步 深化税务系统</w:t>
        </w:r>
        <w:r w:rsidR="00683086">
          <w:rPr>
            <w:rFonts w:ascii="楷体_GB2312" w:hAnsi="楷体_GB2312" w:cs="楷体_GB2312"/>
          </w:rPr>
          <w:t>“</w:t>
        </w:r>
        <w:r w:rsidR="00683086">
          <w:rPr>
            <w:rFonts w:ascii="楷体_GB2312" w:hAnsi="楷体_GB2312" w:cs="楷体_GB2312" w:hint="eastAsia"/>
          </w:rPr>
          <w:t>放管服</w:t>
        </w:r>
        <w:r w:rsidR="00683086">
          <w:rPr>
            <w:rFonts w:ascii="楷体_GB2312" w:hAnsi="楷体_GB2312" w:cs="楷体_GB2312"/>
          </w:rPr>
          <w:t>”</w:t>
        </w:r>
        <w:r w:rsidR="00683086">
          <w:rPr>
            <w:rFonts w:ascii="楷体_GB2312" w:hAnsi="楷体_GB2312" w:cs="楷体_GB2312" w:hint="eastAsia"/>
          </w:rPr>
          <w:t>改革优化税收环境的若干意见</w:t>
        </w:r>
      </w:hyperlink>
      <w:r w:rsidR="00683086">
        <w:rPr>
          <w:rFonts w:ascii="楷体_GB2312" w:hAnsi="楷体_GB2312" w:cs="楷体_GB2312" w:hint="eastAsia"/>
          <w:kern w:val="44"/>
          <w:szCs w:val="44"/>
        </w:rPr>
        <w:t>(</w:t>
      </w:r>
      <w:hyperlink w:anchor="_Toc24024" w:history="1">
        <w:r w:rsidR="00683086">
          <w:rPr>
            <w:rFonts w:ascii="楷体_GB2312" w:hAnsi="楷体_GB2312" w:cs="楷体_GB2312" w:hint="eastAsia"/>
          </w:rPr>
          <w:t>税总发</w:t>
        </w:r>
        <w:r w:rsidR="00683086">
          <w:rPr>
            <w:rFonts w:ascii="楷体_GB2312" w:hAnsi="楷体_GB2312" w:cs="楷体_GB2312"/>
          </w:rPr>
          <w:t>[2017]101</w:t>
        </w:r>
        <w:r w:rsidR="00683086">
          <w:rPr>
            <w:rFonts w:ascii="楷体_GB2312" w:hAnsi="楷体_GB2312" w:cs="楷体_GB2312" w:hint="eastAsia"/>
          </w:rPr>
          <w:t xml:space="preserve">号  </w:t>
        </w:r>
        <w:r w:rsidR="00683086">
          <w:rPr>
            <w:rFonts w:ascii="楷体_GB2312" w:hAnsi="楷体_GB2312" w:cs="楷体_GB2312"/>
          </w:rPr>
          <w:t>2017</w:t>
        </w:r>
        <w:r w:rsidR="00683086">
          <w:rPr>
            <w:rFonts w:ascii="楷体_GB2312" w:hAnsi="楷体_GB2312" w:cs="楷体_GB2312" w:hint="eastAsia"/>
          </w:rPr>
          <w:t>-</w:t>
        </w:r>
        <w:r w:rsidR="00683086">
          <w:rPr>
            <w:rFonts w:ascii="楷体_GB2312" w:hAnsi="楷体_GB2312" w:cs="楷体_GB2312"/>
          </w:rPr>
          <w:t>9</w:t>
        </w:r>
        <w:r w:rsidR="00683086">
          <w:rPr>
            <w:rFonts w:ascii="楷体_GB2312" w:hAnsi="楷体_GB2312" w:cs="楷体_GB2312" w:hint="eastAsia"/>
          </w:rPr>
          <w:t>-</w:t>
        </w:r>
        <w:r w:rsidR="00683086">
          <w:rPr>
            <w:rFonts w:ascii="楷体_GB2312" w:hAnsi="楷体_GB2312" w:cs="楷体_GB2312"/>
          </w:rPr>
          <w:t>14</w:t>
        </w:r>
        <w:r w:rsidR="00683086">
          <w:rPr>
            <w:rFonts w:ascii="楷体_GB2312" w:hAnsi="楷体_GB2312" w:cs="楷体_GB2312" w:hint="eastAsia"/>
          </w:rPr>
          <w:t>)</w:t>
        </w:r>
        <w:r w:rsidR="00683086">
          <w:rPr>
            <w:rFonts w:ascii="楷体_GB2312" w:hAnsi="楷体_GB2312" w:cs="楷体_GB2312"/>
          </w:rPr>
          <w:tab/>
        </w:r>
        <w:r w:rsidR="00683086">
          <w:rPr>
            <w:rFonts w:ascii="楷体_GB2312" w:hAnsi="楷体_GB2312" w:cs="楷体_GB2312" w:hint="eastAsia"/>
          </w:rPr>
          <w:t>(</w:t>
        </w:r>
        <w:r w:rsidR="00683086">
          <w:rPr>
            <w:rFonts w:ascii="楷体_GB2312" w:hAnsi="楷体_GB2312" w:cs="楷体_GB2312"/>
          </w:rPr>
          <w:fldChar w:fldCharType="begin"/>
        </w:r>
        <w:r w:rsidR="00683086">
          <w:rPr>
            <w:rFonts w:ascii="楷体_GB2312" w:hAnsi="楷体_GB2312" w:cs="楷体_GB2312"/>
          </w:rPr>
          <w:instrText xml:space="preserve"> PAGEREF _Toc24024 </w:instrText>
        </w:r>
        <w:r w:rsidR="00683086">
          <w:rPr>
            <w:rFonts w:ascii="楷体_GB2312" w:hAnsi="楷体_GB2312" w:cs="楷体_GB2312"/>
          </w:rPr>
          <w:fldChar w:fldCharType="separate"/>
        </w:r>
        <w:r w:rsidR="00683086">
          <w:rPr>
            <w:rFonts w:ascii="楷体_GB2312" w:hAnsi="楷体_GB2312" w:cs="楷体_GB2312"/>
          </w:rPr>
          <w:t>6</w:t>
        </w:r>
        <w:r w:rsidR="00683086">
          <w:rPr>
            <w:rFonts w:ascii="楷体_GB2312" w:hAnsi="楷体_GB2312" w:cs="楷体_GB2312"/>
          </w:rPr>
          <w:fldChar w:fldCharType="end"/>
        </w:r>
      </w:hyperlink>
      <w:r w:rsidR="00683086">
        <w:rPr>
          <w:rFonts w:ascii="楷体_GB2312" w:hAnsi="楷体_GB2312" w:cs="楷体_GB2312" w:hint="eastAsia"/>
          <w:kern w:val="44"/>
          <w:szCs w:val="44"/>
        </w:rPr>
        <w:t>)</w:t>
      </w:r>
    </w:p>
    <w:p w:rsidR="00F00C08" w:rsidRPr="00F00C08" w:rsidRDefault="00F00C08" w:rsidP="00C15D85">
      <w:pPr>
        <w:pStyle w:val="30"/>
        <w:numPr>
          <w:ilvl w:val="0"/>
          <w:numId w:val="6"/>
        </w:numPr>
        <w:tabs>
          <w:tab w:val="right" w:leader="dot" w:pos="7564"/>
        </w:tabs>
        <w:ind w:leftChars="0" w:firstLineChars="0"/>
        <w:rPr>
          <w:rFonts w:ascii="仿宋_GB2312" w:eastAsia="仿宋_GB2312" w:hAnsi="宋体"/>
          <w:b/>
          <w:sz w:val="28"/>
        </w:rPr>
      </w:pPr>
      <w:r w:rsidRPr="00F00C08">
        <w:rPr>
          <w:rFonts w:ascii="仿宋_GB2312" w:eastAsia="仿宋_GB2312" w:hAnsi="宋体" w:hint="eastAsia"/>
          <w:b/>
          <w:sz w:val="28"/>
        </w:rPr>
        <w:t>政策解读</w:t>
      </w:r>
    </w:p>
    <w:p w:rsidR="009510F2" w:rsidRDefault="00785193">
      <w:pPr>
        <w:pStyle w:val="30"/>
        <w:tabs>
          <w:tab w:val="right" w:leader="dot" w:pos="7564"/>
        </w:tabs>
        <w:ind w:leftChars="0" w:left="0" w:firstLineChars="0" w:firstLine="0"/>
      </w:pPr>
      <w:hyperlink w:anchor="_Toc16287" w:history="1">
        <w:r w:rsidR="00683086">
          <w:rPr>
            <w:rFonts w:ascii="楷体_GB2312" w:hAnsi="楷体_GB2312" w:cs="楷体_GB2312" w:hint="eastAsia"/>
          </w:rPr>
          <w:t>七、 “全国通办”让办税无界限 税务总局</w:t>
        </w:r>
        <w:bookmarkStart w:id="3" w:name="_GoBack"/>
        <w:bookmarkEnd w:id="3"/>
        <w:r w:rsidR="00683086">
          <w:rPr>
            <w:rFonts w:ascii="楷体_GB2312" w:hAnsi="楷体_GB2312" w:cs="楷体_GB2312" w:hint="eastAsia"/>
          </w:rPr>
          <w:t>发布《关于跨省经营企业涉税事项全国通办的通知》</w:t>
        </w:r>
      </w:hyperlink>
      <w:r w:rsidR="00683086">
        <w:rPr>
          <w:rFonts w:ascii="楷体_GB2312" w:hAnsi="楷体_GB2312" w:cs="楷体_GB2312" w:hint="eastAsia"/>
          <w:kern w:val="44"/>
          <w:szCs w:val="44"/>
        </w:rPr>
        <w:t>(</w:t>
      </w:r>
      <w:hyperlink w:anchor="_Toc4356" w:history="1">
        <w:r w:rsidR="00683086">
          <w:rPr>
            <w:rFonts w:ascii="楷体_GB2312" w:hAnsi="楷体_GB2312" w:cs="楷体_GB2312"/>
          </w:rPr>
          <w:t>来源：</w:t>
        </w:r>
        <w:r w:rsidR="00683086">
          <w:rPr>
            <w:rFonts w:ascii="楷体_GB2312" w:hAnsi="楷体_GB2312" w:cs="楷体_GB2312" w:hint="eastAsia"/>
          </w:rPr>
          <w:t xml:space="preserve">国家税务总局办公厅   </w:t>
        </w:r>
        <w:r w:rsidR="00683086">
          <w:rPr>
            <w:rFonts w:ascii="楷体_GB2312" w:hAnsi="楷体_GB2312" w:cs="楷体_GB2312"/>
          </w:rPr>
          <w:t>2017</w:t>
        </w:r>
        <w:r w:rsidR="00683086">
          <w:rPr>
            <w:rFonts w:ascii="楷体_GB2312" w:hAnsi="楷体_GB2312" w:cs="楷体_GB2312" w:hint="eastAsia"/>
          </w:rPr>
          <w:t>-</w:t>
        </w:r>
        <w:r w:rsidR="00683086">
          <w:rPr>
            <w:rFonts w:ascii="楷体_GB2312" w:hAnsi="楷体_GB2312" w:cs="楷体_GB2312"/>
          </w:rPr>
          <w:t>9</w:t>
        </w:r>
        <w:r w:rsidR="00683086">
          <w:rPr>
            <w:rFonts w:ascii="楷体_GB2312" w:hAnsi="楷体_GB2312" w:cs="楷体_GB2312" w:hint="eastAsia"/>
          </w:rPr>
          <w:t>-21)</w:t>
        </w:r>
        <w:r w:rsidR="00683086">
          <w:rPr>
            <w:rFonts w:ascii="楷体_GB2312" w:hAnsi="楷体_GB2312" w:cs="楷体_GB2312"/>
          </w:rPr>
          <w:tab/>
        </w:r>
        <w:r w:rsidR="00683086">
          <w:rPr>
            <w:rFonts w:ascii="楷体_GB2312" w:hAnsi="楷体_GB2312" w:cs="楷体_GB2312" w:hint="eastAsia"/>
          </w:rPr>
          <w:t>(</w:t>
        </w:r>
        <w:r w:rsidR="00683086">
          <w:rPr>
            <w:rFonts w:ascii="楷体_GB2312" w:hAnsi="楷体_GB2312" w:cs="楷体_GB2312"/>
          </w:rPr>
          <w:fldChar w:fldCharType="begin"/>
        </w:r>
        <w:r w:rsidR="00683086">
          <w:rPr>
            <w:rFonts w:ascii="楷体_GB2312" w:hAnsi="楷体_GB2312" w:cs="楷体_GB2312"/>
          </w:rPr>
          <w:instrText xml:space="preserve"> PAGEREF _Toc4356 </w:instrText>
        </w:r>
        <w:r w:rsidR="00683086">
          <w:rPr>
            <w:rFonts w:ascii="楷体_GB2312" w:hAnsi="楷体_GB2312" w:cs="楷体_GB2312"/>
          </w:rPr>
          <w:fldChar w:fldCharType="separate"/>
        </w:r>
        <w:r w:rsidR="00683086">
          <w:rPr>
            <w:rFonts w:ascii="楷体_GB2312" w:hAnsi="楷体_GB2312" w:cs="楷体_GB2312"/>
          </w:rPr>
          <w:t>13</w:t>
        </w:r>
        <w:r w:rsidR="00683086">
          <w:rPr>
            <w:rFonts w:ascii="楷体_GB2312" w:hAnsi="楷体_GB2312" w:cs="楷体_GB2312"/>
          </w:rPr>
          <w:fldChar w:fldCharType="end"/>
        </w:r>
      </w:hyperlink>
      <w:r w:rsidR="00683086">
        <w:rPr>
          <w:rFonts w:ascii="楷体_GB2312" w:hAnsi="楷体_GB2312" w:cs="楷体_GB2312" w:hint="eastAsia"/>
          <w:kern w:val="44"/>
          <w:szCs w:val="44"/>
        </w:rPr>
        <w:t>)</w:t>
      </w:r>
    </w:p>
    <w:p w:rsidR="009510F2" w:rsidRDefault="00683086">
      <w:pPr>
        <w:pStyle w:val="Style1"/>
        <w:tabs>
          <w:tab w:val="right" w:leader="dot" w:pos="7457"/>
        </w:tabs>
        <w:ind w:left="420" w:firstLineChars="0" w:firstLine="0"/>
        <w:rPr>
          <w:rFonts w:ascii="华文行楷" w:eastAsia="华文行楷"/>
          <w:b/>
          <w:sz w:val="32"/>
          <w:szCs w:val="32"/>
        </w:rPr>
      </w:pPr>
      <w:r>
        <w:rPr>
          <w:rFonts w:ascii="楷体_GB2312" w:hAnsi="楷体_GB2312" w:cs="楷体_GB2312"/>
          <w:bCs/>
          <w:kern w:val="44"/>
          <w:szCs w:val="44"/>
        </w:rPr>
        <w:fldChar w:fldCharType="end"/>
      </w:r>
    </w:p>
    <w:p w:rsidR="009510F2" w:rsidRDefault="009510F2" w:rsidP="00EF2049">
      <w:pPr>
        <w:widowControl w:val="0"/>
        <w:spacing w:line="380" w:lineRule="exact"/>
        <w:ind w:firstLineChars="749" w:firstLine="2399"/>
        <w:contextualSpacing/>
        <w:rPr>
          <w:rFonts w:ascii="华文行楷" w:eastAsia="华文行楷" w:cs="Times New Roman"/>
          <w:b/>
          <w:sz w:val="32"/>
          <w:szCs w:val="32"/>
        </w:rPr>
      </w:pPr>
    </w:p>
    <w:p w:rsidR="00EF2049" w:rsidRDefault="00EF2049" w:rsidP="00EF2049">
      <w:pPr>
        <w:widowControl w:val="0"/>
        <w:spacing w:line="380" w:lineRule="exact"/>
        <w:ind w:firstLineChars="749" w:firstLine="2399"/>
        <w:contextualSpacing/>
        <w:rPr>
          <w:rFonts w:ascii="华文行楷" w:eastAsia="华文行楷" w:cs="Times New Roman"/>
          <w:b/>
          <w:sz w:val="32"/>
          <w:szCs w:val="32"/>
        </w:rPr>
      </w:pPr>
    </w:p>
    <w:p w:rsidR="00EF2049" w:rsidRDefault="00EF2049" w:rsidP="00EF2049">
      <w:pPr>
        <w:widowControl w:val="0"/>
        <w:spacing w:line="380" w:lineRule="exact"/>
        <w:ind w:firstLineChars="749" w:firstLine="2399"/>
        <w:contextualSpacing/>
        <w:rPr>
          <w:rFonts w:ascii="华文行楷" w:eastAsia="华文行楷" w:cs="Times New Roman"/>
          <w:b/>
          <w:sz w:val="32"/>
          <w:szCs w:val="32"/>
        </w:rPr>
      </w:pPr>
    </w:p>
    <w:p w:rsidR="009510F2" w:rsidRDefault="00683086" w:rsidP="00EF2049">
      <w:pPr>
        <w:widowControl w:val="0"/>
        <w:spacing w:line="380" w:lineRule="exact"/>
        <w:ind w:firstLineChars="749" w:firstLine="2399"/>
        <w:contextualSpacing/>
        <w:rPr>
          <w:rFonts w:ascii="华文行楷" w:eastAsia="华文行楷" w:cs="Times New Roman"/>
          <w:b/>
          <w:sz w:val="32"/>
          <w:szCs w:val="32"/>
        </w:rPr>
      </w:pPr>
      <w:r>
        <w:rPr>
          <w:rFonts w:ascii="华文行楷" w:eastAsia="华文行楷" w:cs="Times New Roman" w:hint="eastAsia"/>
          <w:b/>
          <w:sz w:val="32"/>
          <w:szCs w:val="32"/>
        </w:rPr>
        <w:t>本期财税政策提示</w:t>
      </w:r>
    </w:p>
    <w:p w:rsidR="009510F2" w:rsidRDefault="009510F2" w:rsidP="00EF2049">
      <w:pPr>
        <w:widowControl w:val="0"/>
        <w:spacing w:line="380" w:lineRule="exact"/>
        <w:ind w:firstLineChars="749" w:firstLine="2399"/>
        <w:contextualSpacing/>
        <w:rPr>
          <w:rFonts w:ascii="华文行楷" w:eastAsia="华文行楷" w:cs="Times New Roman"/>
          <w:b/>
          <w:sz w:val="32"/>
          <w:szCs w:val="32"/>
        </w:rPr>
      </w:pPr>
    </w:p>
    <w:p w:rsidR="009510F2" w:rsidRDefault="00683086">
      <w:pPr>
        <w:pStyle w:val="11"/>
        <w:numPr>
          <w:ilvl w:val="0"/>
          <w:numId w:val="4"/>
        </w:numPr>
        <w:shd w:val="clear" w:color="auto" w:fill="FFFFFF"/>
        <w:spacing w:line="400" w:lineRule="exact"/>
        <w:ind w:leftChars="-56" w:left="1" w:hangingChars="56" w:hanging="135"/>
        <w:contextualSpacing/>
        <w:rPr>
          <w:rFonts w:ascii="仿宋_GB2312" w:eastAsia="仿宋_GB2312" w:hAnsi="宋体"/>
          <w:b/>
          <w:bCs/>
          <w:color w:val="000000"/>
          <w:kern w:val="0"/>
          <w:szCs w:val="24"/>
        </w:rPr>
      </w:pPr>
      <w:r>
        <w:rPr>
          <w:rFonts w:ascii="仿宋_GB2312" w:eastAsia="仿宋_GB2312" w:hAnsi="宋体" w:hint="eastAsia"/>
          <w:b/>
          <w:bCs/>
          <w:color w:val="000000"/>
          <w:kern w:val="0"/>
          <w:szCs w:val="24"/>
        </w:rPr>
        <w:t>两部门调整汇总缴纳增值税分支机构名单</w:t>
      </w:r>
    </w:p>
    <w:p w:rsidR="009510F2" w:rsidRDefault="00683086">
      <w:pPr>
        <w:shd w:val="clear" w:color="auto" w:fill="FFFFFF"/>
        <w:spacing w:line="400" w:lineRule="exact"/>
        <w:ind w:firstLine="480"/>
        <w:contextualSpacing/>
      </w:pPr>
      <w:r>
        <w:rPr>
          <w:rFonts w:hint="eastAsia"/>
        </w:rPr>
        <w:t>近日，财政部、国家税务总局联合发文《关于调整铁路和航空运输企业汇总缴纳增值税分支机构名单的通知》（财税〔</w:t>
      </w:r>
      <w:r>
        <w:rPr>
          <w:rFonts w:hint="eastAsia"/>
        </w:rPr>
        <w:t>2017</w:t>
      </w:r>
      <w:r>
        <w:rPr>
          <w:rFonts w:hint="eastAsia"/>
        </w:rPr>
        <w:t>〕</w:t>
      </w:r>
      <w:r>
        <w:rPr>
          <w:rFonts w:hint="eastAsia"/>
        </w:rPr>
        <w:t>67</w:t>
      </w:r>
      <w:r>
        <w:rPr>
          <w:rFonts w:hint="eastAsia"/>
        </w:rPr>
        <w:t>号），明确对铁路和航空运输企业汇总缴纳增值税分支机构进行调，其中：增补</w:t>
      </w:r>
      <w:r>
        <w:rPr>
          <w:rFonts w:hint="eastAsia"/>
        </w:rPr>
        <w:t>10</w:t>
      </w:r>
      <w:r>
        <w:rPr>
          <w:rFonts w:hint="eastAsia"/>
        </w:rPr>
        <w:t>家、取消</w:t>
      </w:r>
      <w:r>
        <w:rPr>
          <w:rFonts w:hint="eastAsia"/>
        </w:rPr>
        <w:t>5</w:t>
      </w:r>
      <w:r>
        <w:rPr>
          <w:rFonts w:hint="eastAsia"/>
        </w:rPr>
        <w:t>家、更名</w:t>
      </w:r>
      <w:r>
        <w:rPr>
          <w:rFonts w:hint="eastAsia"/>
        </w:rPr>
        <w:t>1</w:t>
      </w:r>
      <w:r>
        <w:rPr>
          <w:rFonts w:hint="eastAsia"/>
        </w:rPr>
        <w:t>家。</w:t>
      </w:r>
    </w:p>
    <w:p w:rsidR="009510F2" w:rsidRDefault="009510F2">
      <w:pPr>
        <w:widowControl w:val="0"/>
        <w:spacing w:line="400" w:lineRule="exact"/>
        <w:ind w:firstLineChars="0" w:firstLine="0"/>
        <w:contextualSpacing/>
        <w:jc w:val="left"/>
      </w:pPr>
    </w:p>
    <w:p w:rsidR="009510F2" w:rsidRDefault="00683086">
      <w:pPr>
        <w:pStyle w:val="11"/>
        <w:numPr>
          <w:ilvl w:val="0"/>
          <w:numId w:val="4"/>
        </w:numPr>
        <w:shd w:val="clear" w:color="auto" w:fill="FFFFFF"/>
        <w:spacing w:line="400" w:lineRule="exact"/>
        <w:ind w:leftChars="-56" w:left="1" w:hangingChars="56" w:hanging="135"/>
        <w:contextualSpacing/>
        <w:rPr>
          <w:rFonts w:ascii="仿宋_GB2312" w:eastAsia="仿宋_GB2312" w:hAnsi="宋体"/>
          <w:b/>
          <w:bCs/>
          <w:color w:val="000000"/>
          <w:kern w:val="0"/>
          <w:szCs w:val="24"/>
        </w:rPr>
      </w:pPr>
      <w:r>
        <w:rPr>
          <w:rFonts w:ascii="仿宋_GB2312" w:eastAsia="仿宋_GB2312" w:hAnsi="宋体" w:hint="eastAsia"/>
          <w:b/>
          <w:color w:val="000000"/>
          <w:kern w:val="0"/>
          <w:szCs w:val="24"/>
        </w:rPr>
        <w:t>总局取消第一批</w:t>
      </w:r>
      <w:r>
        <w:rPr>
          <w:rFonts w:ascii="仿宋_GB2312" w:eastAsia="仿宋_GB2312" w:hAnsi="宋体" w:hint="eastAsia"/>
          <w:b/>
          <w:bCs/>
          <w:color w:val="000000"/>
          <w:kern w:val="0"/>
          <w:szCs w:val="24"/>
        </w:rPr>
        <w:t>涉税事项和报送资料</w:t>
      </w:r>
    </w:p>
    <w:p w:rsidR="009510F2" w:rsidRDefault="00683086">
      <w:pPr>
        <w:pStyle w:val="11"/>
        <w:widowControl w:val="0"/>
        <w:shd w:val="clear" w:color="auto" w:fill="FFFFFF"/>
        <w:spacing w:line="400" w:lineRule="exact"/>
        <w:ind w:left="1" w:firstLine="480"/>
        <w:contextualSpacing/>
        <w:jc w:val="left"/>
      </w:pPr>
      <w:r>
        <w:rPr>
          <w:rFonts w:hint="eastAsia"/>
        </w:rPr>
        <w:t>为了深入贯彻落实党中央、国务院关于深化“简政放权、放管结合、优化服务”改革的要求，进一步减轻纳税人和基层税务机关负担，改善营商环境，根据</w:t>
      </w:r>
      <w:r>
        <w:rPr>
          <w:rFonts w:hint="eastAsia"/>
        </w:rPr>
        <w:t>(</w:t>
      </w:r>
      <w:proofErr w:type="gramStart"/>
      <w:r>
        <w:rPr>
          <w:rFonts w:hint="eastAsia"/>
        </w:rPr>
        <w:t>税总发</w:t>
      </w:r>
      <w:proofErr w:type="gramEnd"/>
      <w:r>
        <w:rPr>
          <w:rFonts w:hint="eastAsia"/>
        </w:rPr>
        <w:t>〔</w:t>
      </w:r>
      <w:r>
        <w:rPr>
          <w:rFonts w:hint="eastAsia"/>
        </w:rPr>
        <w:t>2017</w:t>
      </w:r>
      <w:r>
        <w:rPr>
          <w:rFonts w:hint="eastAsia"/>
        </w:rPr>
        <w:t>〕</w:t>
      </w:r>
      <w:r>
        <w:rPr>
          <w:rFonts w:hint="eastAsia"/>
        </w:rPr>
        <w:t>101</w:t>
      </w:r>
      <w:r>
        <w:rPr>
          <w:rFonts w:hint="eastAsia"/>
        </w:rPr>
        <w:t>号</w:t>
      </w:r>
      <w:r>
        <w:rPr>
          <w:rFonts w:hint="eastAsia"/>
        </w:rPr>
        <w:t>)</w:t>
      </w:r>
      <w:r>
        <w:rPr>
          <w:rFonts w:hint="eastAsia"/>
        </w:rPr>
        <w:t>的有关要求，税务总局近期在编制《全国税收征管规范</w:t>
      </w:r>
      <w:r>
        <w:rPr>
          <w:rFonts w:hint="eastAsia"/>
        </w:rPr>
        <w:t>(2.0</w:t>
      </w:r>
      <w:r>
        <w:rPr>
          <w:rFonts w:hint="eastAsia"/>
        </w:rPr>
        <w:t>版</w:t>
      </w:r>
      <w:r>
        <w:rPr>
          <w:rFonts w:hint="eastAsia"/>
        </w:rPr>
        <w:t>)</w:t>
      </w:r>
      <w:r>
        <w:rPr>
          <w:rFonts w:hint="eastAsia"/>
        </w:rPr>
        <w:t>》过程中开展了涉税事项和报送资料的清理工作。</w:t>
      </w:r>
      <w:r>
        <w:rPr>
          <w:rFonts w:hint="eastAsia"/>
        </w:rPr>
        <w:t xml:space="preserve"> </w:t>
      </w:r>
      <w:r>
        <w:rPr>
          <w:rFonts w:hint="eastAsia"/>
        </w:rPr>
        <w:t>日前总局下发第一批取消事项和资料清单。其中取消涉税事项</w:t>
      </w:r>
      <w:r>
        <w:rPr>
          <w:rFonts w:hint="eastAsia"/>
        </w:rPr>
        <w:t>3</w:t>
      </w:r>
      <w:r>
        <w:rPr>
          <w:rFonts w:hint="eastAsia"/>
        </w:rPr>
        <w:t>项，取消各类保送资料</w:t>
      </w:r>
      <w:r>
        <w:rPr>
          <w:rFonts w:hint="eastAsia"/>
        </w:rPr>
        <w:t>1107</w:t>
      </w:r>
      <w:r>
        <w:rPr>
          <w:rFonts w:hint="eastAsia"/>
        </w:rPr>
        <w:t>项。</w:t>
      </w:r>
    </w:p>
    <w:p w:rsidR="009510F2" w:rsidRDefault="009510F2">
      <w:pPr>
        <w:pStyle w:val="11"/>
        <w:widowControl w:val="0"/>
        <w:shd w:val="clear" w:color="auto" w:fill="FFFFFF"/>
        <w:spacing w:line="400" w:lineRule="exact"/>
        <w:ind w:left="1" w:firstLine="480"/>
        <w:contextualSpacing/>
        <w:jc w:val="left"/>
      </w:pPr>
    </w:p>
    <w:p w:rsidR="009510F2" w:rsidRDefault="009510F2">
      <w:pPr>
        <w:pStyle w:val="11"/>
        <w:widowControl w:val="0"/>
        <w:shd w:val="clear" w:color="auto" w:fill="FFFFFF"/>
        <w:spacing w:line="400" w:lineRule="exact"/>
        <w:ind w:firstLineChars="0" w:firstLine="0"/>
        <w:contextualSpacing/>
        <w:jc w:val="left"/>
        <w:sectPr w:rsidR="009510F2">
          <w:headerReference w:type="even" r:id="rId11"/>
          <w:headerReference w:type="default" r:id="rId12"/>
          <w:footerReference w:type="even" r:id="rId13"/>
          <w:footerReference w:type="default" r:id="rId14"/>
          <w:headerReference w:type="first" r:id="rId15"/>
          <w:footerReference w:type="first" r:id="rId16"/>
          <w:pgSz w:w="11164" w:h="15485"/>
          <w:pgMar w:top="1440" w:right="1800" w:bottom="1440" w:left="1800" w:header="851" w:footer="992" w:gutter="0"/>
          <w:pgNumType w:start="1"/>
          <w:cols w:space="425"/>
          <w:docGrid w:type="lines" w:linePitch="326"/>
        </w:sectPr>
      </w:pPr>
    </w:p>
    <w:p w:rsidR="009510F2" w:rsidRDefault="00683086">
      <w:pPr>
        <w:widowControl w:val="0"/>
        <w:spacing w:line="380" w:lineRule="exact"/>
        <w:ind w:firstLineChars="0" w:firstLine="0"/>
        <w:contextualSpacing/>
        <w:rPr>
          <w:rFonts w:ascii="华文行楷" w:eastAsia="华文行楷" w:hAnsi="宋体" w:cs="宋体"/>
          <w:b/>
          <w:kern w:val="0"/>
          <w:sz w:val="32"/>
          <w:szCs w:val="32"/>
          <w:bdr w:val="single" w:sz="4" w:space="0" w:color="auto"/>
        </w:rPr>
      </w:pPr>
      <w:r>
        <w:rPr>
          <w:rFonts w:ascii="华文行楷" w:eastAsia="华文行楷" w:hAnsi="宋体" w:cs="宋体" w:hint="eastAsia"/>
          <w:b/>
          <w:kern w:val="0"/>
          <w:sz w:val="32"/>
          <w:szCs w:val="32"/>
          <w:bdr w:val="single" w:sz="4" w:space="0" w:color="auto"/>
        </w:rPr>
        <w:lastRenderedPageBreak/>
        <w:t>税收法规</w:t>
      </w:r>
    </w:p>
    <w:p w:rsidR="009510F2" w:rsidRDefault="009510F2">
      <w:pPr>
        <w:spacing w:line="380" w:lineRule="exact"/>
        <w:ind w:firstLine="480"/>
        <w:contextualSpacing/>
      </w:pPr>
    </w:p>
    <w:p w:rsidR="009510F2" w:rsidRDefault="00683086">
      <w:pPr>
        <w:pStyle w:val="3"/>
      </w:pPr>
      <w:bookmarkStart w:id="4" w:name="_Toc7384"/>
      <w:r>
        <w:rPr>
          <w:rFonts w:hint="eastAsia"/>
        </w:rPr>
        <w:t>国家税务总局关于《增值税一般纳税人资格</w:t>
      </w:r>
      <w:r>
        <w:rPr>
          <w:rFonts w:hint="eastAsia"/>
        </w:rPr>
        <w:br/>
      </w:r>
      <w:r>
        <w:rPr>
          <w:rFonts w:hint="eastAsia"/>
        </w:rPr>
        <w:t>登记管理办法（征求意见稿）》公开征求意见的通知</w:t>
      </w:r>
      <w:bookmarkEnd w:id="4"/>
    </w:p>
    <w:p w:rsidR="009510F2" w:rsidRDefault="00683086">
      <w:pPr>
        <w:pStyle w:val="4"/>
      </w:pPr>
      <w:bookmarkStart w:id="5" w:name="_Toc20267"/>
      <w:r>
        <w:rPr>
          <w:rFonts w:hint="eastAsia"/>
        </w:rPr>
        <w:t>来源：国家税务总局政策法规司  2017-09-01</w:t>
      </w:r>
      <w:bookmarkEnd w:id="5"/>
    </w:p>
    <w:p w:rsidR="009510F2" w:rsidRDefault="00683086">
      <w:pPr>
        <w:spacing w:line="400" w:lineRule="exact"/>
        <w:ind w:firstLine="480"/>
        <w:contextualSpacing/>
      </w:pPr>
      <w:r>
        <w:rPr>
          <w:rFonts w:hint="eastAsia"/>
        </w:rPr>
        <w:t>为贯彻落实国务院行政审批改革有关精神，按照《国务院关于修改部分行政法规的决定》《国务院关于取消和调整一批行政审批项目等事项的决定》（国发〔</w:t>
      </w:r>
      <w:r>
        <w:rPr>
          <w:rFonts w:hint="eastAsia"/>
        </w:rPr>
        <w:t>2015</w:t>
      </w:r>
      <w:r>
        <w:rPr>
          <w:rFonts w:hint="eastAsia"/>
        </w:rPr>
        <w:t>〕</w:t>
      </w:r>
      <w:r>
        <w:rPr>
          <w:rFonts w:hint="eastAsia"/>
        </w:rPr>
        <w:t>11</w:t>
      </w:r>
      <w:r>
        <w:rPr>
          <w:rFonts w:hint="eastAsia"/>
        </w:rPr>
        <w:t>号）有关要求，国家税务总局对《增值税一般纳税人资格认定管理办法》（国家税务总局令第</w:t>
      </w:r>
      <w:r>
        <w:rPr>
          <w:rFonts w:hint="eastAsia"/>
        </w:rPr>
        <w:t>22</w:t>
      </w:r>
      <w:r>
        <w:rPr>
          <w:rFonts w:hint="eastAsia"/>
        </w:rPr>
        <w:t>号公布）进行了修订。现向社会公开征求意见，公众可通过以下途径和方式提出反馈意见：</w:t>
      </w:r>
      <w:r>
        <w:rPr>
          <w:rFonts w:hint="eastAsia"/>
        </w:rPr>
        <w:br/>
      </w:r>
      <w:r>
        <w:rPr>
          <w:rFonts w:hint="eastAsia"/>
        </w:rPr>
        <w:t xml:space="preserve">　　</w:t>
      </w:r>
      <w:r>
        <w:rPr>
          <w:rFonts w:hint="eastAsia"/>
        </w:rPr>
        <w:t>1.</w:t>
      </w:r>
      <w:r>
        <w:rPr>
          <w:rFonts w:hint="eastAsia"/>
        </w:rPr>
        <w:t>登陆中国政府法制信息网。网址：</w:t>
      </w:r>
      <w:r>
        <w:rPr>
          <w:rFonts w:hint="eastAsia"/>
        </w:rPr>
        <w:t>http://www.chinalaw.gov.cn</w:t>
      </w:r>
      <w:r>
        <w:rPr>
          <w:rFonts w:hint="eastAsia"/>
        </w:rPr>
        <w:t>，进入首页主菜单的“立法意见征集”栏目提出意见。</w:t>
      </w:r>
      <w:r>
        <w:rPr>
          <w:rFonts w:hint="eastAsia"/>
        </w:rPr>
        <w:br/>
      </w:r>
      <w:r>
        <w:rPr>
          <w:rFonts w:hint="eastAsia"/>
        </w:rPr>
        <w:t xml:space="preserve">　　</w:t>
      </w:r>
      <w:r>
        <w:rPr>
          <w:rFonts w:hint="eastAsia"/>
        </w:rPr>
        <w:t>2.</w:t>
      </w:r>
      <w:r>
        <w:rPr>
          <w:rFonts w:hint="eastAsia"/>
        </w:rPr>
        <w:t>登陆国家税务总局网站。网址：</w:t>
      </w:r>
      <w:r>
        <w:rPr>
          <w:rFonts w:hint="eastAsia"/>
        </w:rPr>
        <w:t>http://www.chinatax.gov.cn</w:t>
      </w:r>
      <w:r>
        <w:rPr>
          <w:rFonts w:hint="eastAsia"/>
        </w:rPr>
        <w:t>，进入首页右侧的“意见征集”系统提出意见。</w:t>
      </w:r>
      <w:r>
        <w:rPr>
          <w:rFonts w:hint="eastAsia"/>
        </w:rPr>
        <w:br/>
      </w:r>
      <w:r>
        <w:rPr>
          <w:rFonts w:hint="eastAsia"/>
        </w:rPr>
        <w:t xml:space="preserve">　　</w:t>
      </w:r>
      <w:r>
        <w:rPr>
          <w:rFonts w:hint="eastAsia"/>
        </w:rPr>
        <w:t>3.</w:t>
      </w:r>
      <w:r>
        <w:rPr>
          <w:rFonts w:hint="eastAsia"/>
        </w:rPr>
        <w:t>信函提出意见。邮寄地址：北京市海淀区羊坊店西路</w:t>
      </w:r>
      <w:r>
        <w:rPr>
          <w:rFonts w:hint="eastAsia"/>
        </w:rPr>
        <w:t>5</w:t>
      </w:r>
      <w:r>
        <w:rPr>
          <w:rFonts w:hint="eastAsia"/>
        </w:rPr>
        <w:t>号国家税务总局政策法规司（邮编：</w:t>
      </w:r>
      <w:r>
        <w:rPr>
          <w:rFonts w:hint="eastAsia"/>
        </w:rPr>
        <w:t>100038</w:t>
      </w:r>
      <w:r>
        <w:rPr>
          <w:rFonts w:hint="eastAsia"/>
        </w:rPr>
        <w:t>）。请在信封注明“《增值税一般纳税人资格登记管理办法（征求意见稿）》公开征集意见”字样。</w:t>
      </w:r>
      <w:r>
        <w:rPr>
          <w:rFonts w:hint="eastAsia"/>
        </w:rPr>
        <w:br/>
      </w:r>
      <w:r>
        <w:rPr>
          <w:rFonts w:hint="eastAsia"/>
        </w:rPr>
        <w:t xml:space="preserve">　　意见反馈截止时间为</w:t>
      </w:r>
      <w:r>
        <w:rPr>
          <w:rFonts w:hint="eastAsia"/>
        </w:rPr>
        <w:t>2017</w:t>
      </w:r>
      <w:r>
        <w:rPr>
          <w:rFonts w:hint="eastAsia"/>
        </w:rPr>
        <w:t>年</w:t>
      </w:r>
      <w:r>
        <w:rPr>
          <w:rFonts w:hint="eastAsia"/>
        </w:rPr>
        <w:t>9</w:t>
      </w:r>
      <w:r>
        <w:rPr>
          <w:rFonts w:hint="eastAsia"/>
        </w:rPr>
        <w:t>月</w:t>
      </w:r>
      <w:r>
        <w:rPr>
          <w:rFonts w:hint="eastAsia"/>
        </w:rPr>
        <w:t>30</w:t>
      </w:r>
      <w:r>
        <w:rPr>
          <w:rFonts w:hint="eastAsia"/>
        </w:rPr>
        <w:t>日。</w:t>
      </w:r>
    </w:p>
    <w:p w:rsidR="009510F2" w:rsidRDefault="009510F2">
      <w:pPr>
        <w:spacing w:line="400" w:lineRule="exact"/>
        <w:ind w:firstLineChars="400" w:firstLine="1124"/>
        <w:contextualSpacing/>
        <w:rPr>
          <w:rFonts w:eastAsia="黑体"/>
          <w:b/>
          <w:sz w:val="28"/>
        </w:rPr>
      </w:pPr>
    </w:p>
    <w:p w:rsidR="009510F2" w:rsidRDefault="00683086">
      <w:pPr>
        <w:pStyle w:val="3"/>
      </w:pPr>
      <w:bookmarkStart w:id="6" w:name="_Toc9452"/>
      <w:r>
        <w:rPr>
          <w:rFonts w:hint="eastAsia"/>
          <w:bCs/>
        </w:rPr>
        <w:t>浙江省财政厅等</w:t>
      </w:r>
      <w:r>
        <w:rPr>
          <w:rFonts w:hint="eastAsia"/>
          <w:bCs/>
        </w:rPr>
        <w:t>4</w:t>
      </w:r>
      <w:r>
        <w:rPr>
          <w:rFonts w:hint="eastAsia"/>
          <w:bCs/>
        </w:rPr>
        <w:t>部门转发</w:t>
      </w:r>
      <w:r>
        <w:rPr>
          <w:rFonts w:hint="eastAsia"/>
          <w:bCs/>
        </w:rPr>
        <w:br/>
      </w:r>
      <w:r>
        <w:rPr>
          <w:rFonts w:hint="eastAsia"/>
          <w:bCs/>
        </w:rPr>
        <w:t>财政部</w:t>
      </w:r>
      <w:r>
        <w:rPr>
          <w:rFonts w:hint="eastAsia"/>
          <w:bCs/>
        </w:rPr>
        <w:t xml:space="preserve"> </w:t>
      </w:r>
      <w:r>
        <w:rPr>
          <w:rFonts w:hint="eastAsia"/>
          <w:bCs/>
        </w:rPr>
        <w:t>税务总局</w:t>
      </w:r>
      <w:r>
        <w:rPr>
          <w:rFonts w:hint="eastAsia"/>
          <w:bCs/>
        </w:rPr>
        <w:t xml:space="preserve"> </w:t>
      </w:r>
      <w:r>
        <w:rPr>
          <w:rFonts w:hint="eastAsia"/>
          <w:bCs/>
        </w:rPr>
        <w:t>民政部关于继续实施</w:t>
      </w:r>
      <w:r>
        <w:rPr>
          <w:rFonts w:hint="eastAsia"/>
          <w:bCs/>
        </w:rPr>
        <w:br/>
      </w:r>
      <w:r>
        <w:rPr>
          <w:rFonts w:hint="eastAsia"/>
          <w:bCs/>
        </w:rPr>
        <w:t>扶持自主就业退役士兵创业就业有关税收政策的通知</w:t>
      </w:r>
      <w:bookmarkEnd w:id="6"/>
    </w:p>
    <w:p w:rsidR="009510F2" w:rsidRDefault="00683086">
      <w:pPr>
        <w:pStyle w:val="4"/>
      </w:pPr>
      <w:bookmarkStart w:id="7" w:name="_Toc13743"/>
      <w:r>
        <w:rPr>
          <w:rFonts w:hint="eastAsia"/>
        </w:rPr>
        <w:t>浙财税政〔2017〕18号   2017-8-25</w:t>
      </w:r>
      <w:bookmarkEnd w:id="7"/>
    </w:p>
    <w:p w:rsidR="009510F2" w:rsidRDefault="00683086">
      <w:pPr>
        <w:spacing w:line="400" w:lineRule="exact"/>
        <w:ind w:firstLine="480"/>
        <w:contextualSpacing/>
      </w:pPr>
      <w:r>
        <w:rPr>
          <w:rFonts w:hint="eastAsia"/>
        </w:rPr>
        <w:t>各市、县（市、区）财政局、国家税务局、地方税务局、民政局，省国税局直属税务分局，省地税局直属税务一分局：</w:t>
      </w:r>
    </w:p>
    <w:p w:rsidR="009510F2" w:rsidRDefault="00683086">
      <w:pPr>
        <w:spacing w:line="400" w:lineRule="exact"/>
        <w:ind w:firstLine="480"/>
        <w:contextualSpacing/>
      </w:pPr>
      <w:r>
        <w:rPr>
          <w:rFonts w:hint="eastAsia"/>
        </w:rPr>
        <w:t>现将《财政部</w:t>
      </w:r>
      <w:r>
        <w:rPr>
          <w:rFonts w:hint="eastAsia"/>
        </w:rPr>
        <w:t xml:space="preserve"> </w:t>
      </w:r>
      <w:r>
        <w:rPr>
          <w:rFonts w:hint="eastAsia"/>
        </w:rPr>
        <w:t>税务总局</w:t>
      </w:r>
      <w:r>
        <w:rPr>
          <w:rFonts w:hint="eastAsia"/>
        </w:rPr>
        <w:t xml:space="preserve"> </w:t>
      </w:r>
      <w:r>
        <w:rPr>
          <w:rFonts w:hint="eastAsia"/>
        </w:rPr>
        <w:t>民政部关于继续实施扶持自主就业退役士兵创业就业有关税收政策的通知》（财税〔</w:t>
      </w:r>
      <w:r>
        <w:rPr>
          <w:rFonts w:hint="eastAsia"/>
        </w:rPr>
        <w:t>2017</w:t>
      </w:r>
      <w:r>
        <w:rPr>
          <w:rFonts w:hint="eastAsia"/>
        </w:rPr>
        <w:t>〕</w:t>
      </w:r>
      <w:r>
        <w:rPr>
          <w:rFonts w:hint="eastAsia"/>
        </w:rPr>
        <w:t>46</w:t>
      </w:r>
      <w:r>
        <w:rPr>
          <w:rFonts w:hint="eastAsia"/>
        </w:rPr>
        <w:t>号）转发给你们，并作如下补充，请一并贯彻执行：</w:t>
      </w:r>
    </w:p>
    <w:p w:rsidR="009510F2" w:rsidRDefault="00683086">
      <w:pPr>
        <w:spacing w:line="400" w:lineRule="exact"/>
        <w:ind w:firstLine="480"/>
        <w:contextualSpacing/>
      </w:pPr>
      <w:r>
        <w:rPr>
          <w:rFonts w:hint="eastAsia"/>
        </w:rPr>
        <w:lastRenderedPageBreak/>
        <w:t>为继续支持和促进我省自主就业退役士兵创业就业，落实国家有关税收扶持政策，经省政府批准，我省自主就业退役士兵创业就业</w:t>
      </w:r>
      <w:r>
        <w:rPr>
          <w:rFonts w:hint="eastAsia"/>
        </w:rPr>
        <w:t>2017-2019</w:t>
      </w:r>
      <w:r>
        <w:rPr>
          <w:rFonts w:hint="eastAsia"/>
        </w:rPr>
        <w:t>年按最高上浮幅度确定相应减税定额标准，即对自主就业退役士兵从事个体经营的，每户每年定额由</w:t>
      </w:r>
      <w:r>
        <w:rPr>
          <w:rFonts w:hint="eastAsia"/>
        </w:rPr>
        <w:t>8000</w:t>
      </w:r>
      <w:r>
        <w:rPr>
          <w:rFonts w:hint="eastAsia"/>
        </w:rPr>
        <w:t>元上浮</w:t>
      </w:r>
      <w:r>
        <w:rPr>
          <w:rFonts w:hint="eastAsia"/>
        </w:rPr>
        <w:t>20%</w:t>
      </w:r>
      <w:r>
        <w:rPr>
          <w:rFonts w:hint="eastAsia"/>
        </w:rPr>
        <w:t>至</w:t>
      </w:r>
      <w:r>
        <w:rPr>
          <w:rFonts w:hint="eastAsia"/>
        </w:rPr>
        <w:t>9600</w:t>
      </w:r>
      <w:r>
        <w:rPr>
          <w:rFonts w:hint="eastAsia"/>
        </w:rPr>
        <w:t>元，依次扣减增值税、城市维护建设税、教育费附加、地方教育附加和个人所得税；对企业新接收自主就业退役士兵，按实际招用人数予以每人每年定额由</w:t>
      </w:r>
      <w:r>
        <w:rPr>
          <w:rFonts w:hint="eastAsia"/>
        </w:rPr>
        <w:t>4000</w:t>
      </w:r>
      <w:r>
        <w:rPr>
          <w:rFonts w:hint="eastAsia"/>
        </w:rPr>
        <w:t>元上浮</w:t>
      </w:r>
      <w:r>
        <w:rPr>
          <w:rFonts w:hint="eastAsia"/>
        </w:rPr>
        <w:t>50%</w:t>
      </w:r>
      <w:r>
        <w:rPr>
          <w:rFonts w:hint="eastAsia"/>
        </w:rPr>
        <w:t>至</w:t>
      </w:r>
      <w:r>
        <w:rPr>
          <w:rFonts w:hint="eastAsia"/>
        </w:rPr>
        <w:t>6000</w:t>
      </w:r>
      <w:r>
        <w:rPr>
          <w:rFonts w:hint="eastAsia"/>
        </w:rPr>
        <w:t>元，依次扣减增值税、城市维护建设税、教育费附加、地方教育附加和企业所得税。</w:t>
      </w:r>
    </w:p>
    <w:p w:rsidR="009510F2" w:rsidRDefault="009510F2">
      <w:pPr>
        <w:spacing w:line="400" w:lineRule="exact"/>
        <w:ind w:firstLineChars="400" w:firstLine="1124"/>
        <w:contextualSpacing/>
        <w:rPr>
          <w:rFonts w:eastAsia="黑体"/>
          <w:b/>
          <w:sz w:val="28"/>
        </w:rPr>
      </w:pPr>
    </w:p>
    <w:p w:rsidR="009510F2" w:rsidRDefault="00683086">
      <w:pPr>
        <w:pStyle w:val="3"/>
      </w:pPr>
      <w:bookmarkStart w:id="8" w:name="_Toc1216"/>
      <w:r>
        <w:rPr>
          <w:rFonts w:hint="eastAsia"/>
        </w:rPr>
        <w:t>国家税务总局</w:t>
      </w:r>
      <w:r>
        <w:rPr>
          <w:rFonts w:hint="eastAsia"/>
        </w:rPr>
        <w:br/>
      </w:r>
      <w:r>
        <w:rPr>
          <w:rFonts w:hint="eastAsia"/>
        </w:rPr>
        <w:t>关于取消一批涉税事项和报送资料的通知</w:t>
      </w:r>
      <w:bookmarkEnd w:id="8"/>
    </w:p>
    <w:p w:rsidR="009510F2" w:rsidRDefault="00683086">
      <w:pPr>
        <w:pStyle w:val="4"/>
      </w:pPr>
      <w:bookmarkStart w:id="9" w:name="_Toc11566"/>
      <w:proofErr w:type="gramStart"/>
      <w:r>
        <w:rPr>
          <w:rFonts w:hint="eastAsia"/>
        </w:rPr>
        <w:t>税总函</w:t>
      </w:r>
      <w:proofErr w:type="gramEnd"/>
      <w:r>
        <w:t>[2017]403</w:t>
      </w:r>
      <w:r>
        <w:rPr>
          <w:rFonts w:hint="eastAsia"/>
        </w:rPr>
        <w:t xml:space="preserve">号  </w:t>
      </w:r>
      <w:r>
        <w:t>2017</w:t>
      </w:r>
      <w:r>
        <w:rPr>
          <w:rFonts w:hint="eastAsia"/>
        </w:rPr>
        <w:t>-</w:t>
      </w:r>
      <w:r>
        <w:t>9</w:t>
      </w:r>
      <w:r>
        <w:rPr>
          <w:rFonts w:hint="eastAsia"/>
        </w:rPr>
        <w:t>-</w:t>
      </w:r>
      <w:r>
        <w:t>15</w:t>
      </w:r>
      <w:bookmarkEnd w:id="9"/>
    </w:p>
    <w:p w:rsidR="009510F2" w:rsidRDefault="00683086">
      <w:pPr>
        <w:spacing w:line="400" w:lineRule="exact"/>
        <w:ind w:firstLineChars="0" w:firstLine="0"/>
        <w:contextualSpacing/>
      </w:pPr>
      <w:r>
        <w:rPr>
          <w:rFonts w:hint="eastAsia"/>
        </w:rPr>
        <w:t>各省、自治区、直辖市和计划单列市国家税务局、地方税务局：</w:t>
      </w:r>
    </w:p>
    <w:p w:rsidR="009510F2" w:rsidRDefault="00683086">
      <w:pPr>
        <w:spacing w:line="400" w:lineRule="exact"/>
        <w:ind w:firstLine="480"/>
        <w:contextualSpacing/>
      </w:pPr>
      <w:r>
        <w:rPr>
          <w:rFonts w:hint="eastAsia"/>
        </w:rPr>
        <w:t>为了深入贯彻落实党中央、国务院关于深化</w:t>
      </w:r>
      <w:r>
        <w:t>“</w:t>
      </w:r>
      <w:r>
        <w:rPr>
          <w:rFonts w:hint="eastAsia"/>
        </w:rPr>
        <w:t>简政放权、放管结合、优化服务</w:t>
      </w:r>
      <w:r>
        <w:t>”</w:t>
      </w:r>
      <w:r>
        <w:rPr>
          <w:rFonts w:hint="eastAsia"/>
        </w:rPr>
        <w:t>改革的要求，进一步减轻纳税人和基层税务机关负担，改善营商环境，根据《国家税务总局关于进一步深化税务系统</w:t>
      </w:r>
      <w:r>
        <w:t>“</w:t>
      </w:r>
      <w:r>
        <w:rPr>
          <w:rFonts w:hint="eastAsia"/>
        </w:rPr>
        <w:t>放管服</w:t>
      </w:r>
      <w:r>
        <w:t>”</w:t>
      </w:r>
      <w:r>
        <w:rPr>
          <w:rFonts w:hint="eastAsia"/>
        </w:rPr>
        <w:t>改革</w:t>
      </w:r>
      <w:r>
        <w:t xml:space="preserve"> </w:t>
      </w:r>
      <w:r>
        <w:rPr>
          <w:rFonts w:hint="eastAsia"/>
        </w:rPr>
        <w:t>优化税收环境的若干意见》</w:t>
      </w:r>
      <w:r>
        <w:t>(</w:t>
      </w:r>
      <w:proofErr w:type="gramStart"/>
      <w:r>
        <w:rPr>
          <w:rFonts w:hint="eastAsia"/>
        </w:rPr>
        <w:t>税总发</w:t>
      </w:r>
      <w:proofErr w:type="gramEnd"/>
      <w:r>
        <w:rPr>
          <w:rFonts w:hint="eastAsia"/>
        </w:rPr>
        <w:t>〔</w:t>
      </w:r>
      <w:r>
        <w:t>2017</w:t>
      </w:r>
      <w:r>
        <w:rPr>
          <w:rFonts w:hint="eastAsia"/>
        </w:rPr>
        <w:t>〕</w:t>
      </w:r>
      <w:r>
        <w:t xml:space="preserve">101 </w:t>
      </w:r>
      <w:r>
        <w:rPr>
          <w:rFonts w:hint="eastAsia"/>
        </w:rPr>
        <w:t>号</w:t>
      </w:r>
      <w:r>
        <w:t>)</w:t>
      </w:r>
      <w:r>
        <w:rPr>
          <w:rFonts w:hint="eastAsia"/>
        </w:rPr>
        <w:t>的有关要求，税务总局近期在编制《全国税收征管规范</w:t>
      </w:r>
      <w:r>
        <w:t>(2.0</w:t>
      </w:r>
      <w:r>
        <w:rPr>
          <w:rFonts w:hint="eastAsia"/>
        </w:rPr>
        <w:t>版</w:t>
      </w:r>
      <w:r>
        <w:t>)</w:t>
      </w:r>
      <w:r>
        <w:rPr>
          <w:rFonts w:hint="eastAsia"/>
        </w:rPr>
        <w:t>》过程中开展了涉税事项和报送资料的清理工作，形成了第一批取消事项和资料清单</w:t>
      </w:r>
      <w:r>
        <w:t>(</w:t>
      </w:r>
      <w:r>
        <w:rPr>
          <w:rFonts w:hint="eastAsia"/>
        </w:rPr>
        <w:t>详见附件</w:t>
      </w:r>
      <w:r>
        <w:t>)</w:t>
      </w:r>
      <w:r>
        <w:rPr>
          <w:rFonts w:hint="eastAsia"/>
        </w:rPr>
        <w:t>。现将有关事项通知如下：</w:t>
      </w:r>
    </w:p>
    <w:p w:rsidR="009510F2" w:rsidRDefault="00683086">
      <w:pPr>
        <w:spacing w:line="400" w:lineRule="exact"/>
        <w:ind w:firstLineChars="233" w:firstLine="559"/>
        <w:contextualSpacing/>
      </w:pPr>
      <w:r>
        <w:rPr>
          <w:rFonts w:hint="eastAsia"/>
        </w:rPr>
        <w:t>一、业务事项取消原则</w:t>
      </w:r>
    </w:p>
    <w:p w:rsidR="009510F2" w:rsidRDefault="00683086">
      <w:pPr>
        <w:spacing w:line="400" w:lineRule="exact"/>
        <w:ind w:firstLine="480"/>
        <w:contextualSpacing/>
      </w:pPr>
      <w:r>
        <w:rPr>
          <w:rFonts w:hint="eastAsia"/>
        </w:rPr>
        <w:t>各地税务机关应当基于业务合理性，以</w:t>
      </w:r>
      <w:proofErr w:type="gramStart"/>
      <w:r>
        <w:rPr>
          <w:rFonts w:hint="eastAsia"/>
        </w:rPr>
        <w:t>还权还责于</w:t>
      </w:r>
      <w:proofErr w:type="gramEnd"/>
      <w:r>
        <w:rPr>
          <w:rFonts w:hint="eastAsia"/>
        </w:rPr>
        <w:t>纳税人、信息互联互通、数据共享为前提，逐步取消有关事项。</w:t>
      </w:r>
    </w:p>
    <w:p w:rsidR="009510F2" w:rsidRDefault="00683086">
      <w:pPr>
        <w:spacing w:line="400" w:lineRule="exact"/>
        <w:ind w:firstLineChars="233" w:firstLine="559"/>
        <w:contextualSpacing/>
      </w:pPr>
      <w:r>
        <w:rPr>
          <w:rFonts w:hint="eastAsia"/>
        </w:rPr>
        <w:t>二、报送资料取消原则</w:t>
      </w:r>
    </w:p>
    <w:p w:rsidR="009510F2" w:rsidRDefault="00683086">
      <w:pPr>
        <w:spacing w:line="400" w:lineRule="exact"/>
        <w:ind w:firstLine="480"/>
        <w:contextualSpacing/>
      </w:pPr>
      <w:r>
        <w:t>(</w:t>
      </w:r>
      <w:proofErr w:type="gramStart"/>
      <w:r>
        <w:rPr>
          <w:rFonts w:hint="eastAsia"/>
        </w:rPr>
        <w:t>一</w:t>
      </w:r>
      <w:proofErr w:type="gramEnd"/>
      <w:r>
        <w:t>)</w:t>
      </w:r>
      <w:r>
        <w:rPr>
          <w:rFonts w:hint="eastAsia"/>
        </w:rPr>
        <w:t>相关证照、批准文书等信息能够通过政府信息共享获取的，只需要纳税人提供上述材料的名称、文号、编码等信息供查询验证，不再提交材料原件或复印件。相关证照、批准文书等信息无法获取的，除了本通知明确取消报送的资料外，纳税人需要按照政策规定提交相关材料作为归档资料，提交资料的复印件上应当有纳税人签章的与原件一致声明。</w:t>
      </w:r>
    </w:p>
    <w:p w:rsidR="009510F2" w:rsidRDefault="00683086">
      <w:pPr>
        <w:spacing w:line="400" w:lineRule="exact"/>
        <w:ind w:firstLine="480"/>
        <w:contextualSpacing/>
      </w:pPr>
      <w:r>
        <w:lastRenderedPageBreak/>
        <w:t>(</w:t>
      </w:r>
      <w:r>
        <w:rPr>
          <w:rFonts w:hint="eastAsia"/>
        </w:rPr>
        <w:t>二</w:t>
      </w:r>
      <w:r>
        <w:t>)</w:t>
      </w:r>
      <w:r>
        <w:rPr>
          <w:rFonts w:hint="eastAsia"/>
        </w:rPr>
        <w:t>对各地税务机关已纳入实名办税的业务，办税人、代理人提供本人身份证件原件供当场查验，身份证件复印件可不再报送，税务登记证件原件、复印件可不再要求报送。</w:t>
      </w:r>
    </w:p>
    <w:p w:rsidR="009510F2" w:rsidRDefault="00683086">
      <w:pPr>
        <w:spacing w:line="400" w:lineRule="exact"/>
        <w:ind w:firstLineChars="150" w:firstLine="360"/>
        <w:contextualSpacing/>
      </w:pPr>
      <w:r>
        <w:rPr>
          <w:rFonts w:hint="eastAsia"/>
        </w:rPr>
        <w:t>三、有关要求</w:t>
      </w:r>
    </w:p>
    <w:p w:rsidR="009510F2" w:rsidRDefault="00683086">
      <w:pPr>
        <w:spacing w:line="400" w:lineRule="exact"/>
        <w:ind w:firstLine="480"/>
        <w:contextualSpacing/>
      </w:pPr>
      <w:r>
        <w:rPr>
          <w:rFonts w:hint="eastAsia"/>
        </w:rPr>
        <w:t>各地税务机关应当按照附件要求执行，对于已经取得的共享信息种类应当及时对外告知，不得在办理涉税事项过程中要求纳税人报送额外资料。各地税务机关根据需要自行制定的报送资料规则，应当一并随同清理。</w:t>
      </w:r>
    </w:p>
    <w:p w:rsidR="009510F2" w:rsidRDefault="00683086">
      <w:pPr>
        <w:spacing w:line="400" w:lineRule="exact"/>
        <w:ind w:firstLine="480"/>
        <w:contextualSpacing/>
      </w:pPr>
      <w:r>
        <w:rPr>
          <w:rFonts w:hint="eastAsia"/>
        </w:rPr>
        <w:t>国家税务总局后续将针对各地落实情况开展督导工作。各地对于执行中发现的问题，请及时报告国家税务总局</w:t>
      </w:r>
      <w:r>
        <w:t>(</w:t>
      </w:r>
      <w:r>
        <w:rPr>
          <w:rFonts w:hint="eastAsia"/>
        </w:rPr>
        <w:t>征管和科技发展司</w:t>
      </w:r>
      <w:r>
        <w:t>)</w:t>
      </w:r>
      <w:r>
        <w:rPr>
          <w:rFonts w:hint="eastAsia"/>
        </w:rPr>
        <w:t>。</w:t>
      </w:r>
    </w:p>
    <w:p w:rsidR="009510F2" w:rsidRDefault="00683086">
      <w:pPr>
        <w:spacing w:line="400" w:lineRule="exact"/>
        <w:ind w:firstLineChars="233" w:firstLine="559"/>
        <w:contextualSpacing/>
      </w:pPr>
      <w:r>
        <w:rPr>
          <w:rFonts w:hint="eastAsia"/>
        </w:rPr>
        <w:t>附件：</w:t>
      </w:r>
      <w:r>
        <w:t>1.</w:t>
      </w:r>
      <w:r>
        <w:rPr>
          <w:rFonts w:hint="eastAsia"/>
        </w:rPr>
        <w:t>第一批取消事项清单（略）</w:t>
      </w:r>
    </w:p>
    <w:p w:rsidR="009510F2" w:rsidRDefault="00683086" w:rsidP="00EF2049">
      <w:pPr>
        <w:spacing w:line="400" w:lineRule="exact"/>
        <w:ind w:firstLineChars="532" w:firstLine="1277"/>
        <w:contextualSpacing/>
      </w:pPr>
      <w:r>
        <w:t>2.</w:t>
      </w:r>
      <w:r>
        <w:rPr>
          <w:rFonts w:hint="eastAsia"/>
        </w:rPr>
        <w:t>第一批取消资料清单（略）</w:t>
      </w:r>
    </w:p>
    <w:p w:rsidR="009510F2" w:rsidRDefault="009510F2">
      <w:pPr>
        <w:spacing w:line="400" w:lineRule="exact"/>
        <w:ind w:firstLineChars="791" w:firstLine="2223"/>
        <w:contextualSpacing/>
        <w:rPr>
          <w:rFonts w:eastAsia="黑体"/>
          <w:b/>
          <w:sz w:val="28"/>
        </w:rPr>
      </w:pPr>
    </w:p>
    <w:p w:rsidR="009742C1" w:rsidRDefault="00683086">
      <w:pPr>
        <w:pStyle w:val="3"/>
      </w:pPr>
      <w:bookmarkStart w:id="10" w:name="_Toc26099"/>
      <w:r>
        <w:rPr>
          <w:rFonts w:hint="eastAsia"/>
        </w:rPr>
        <w:t>国家税务总局</w:t>
      </w:r>
    </w:p>
    <w:p w:rsidR="009510F2" w:rsidRDefault="00683086" w:rsidP="009742C1">
      <w:pPr>
        <w:pStyle w:val="3"/>
        <w:numPr>
          <w:ilvl w:val="0"/>
          <w:numId w:val="0"/>
        </w:numPr>
        <w:ind w:firstLineChars="294" w:firstLine="826"/>
        <w:jc w:val="both"/>
      </w:pPr>
      <w:r>
        <w:rPr>
          <w:rFonts w:hint="eastAsia"/>
        </w:rPr>
        <w:t>关于跨省经营企业涉税事项全国通办的通知</w:t>
      </w:r>
      <w:bookmarkEnd w:id="10"/>
    </w:p>
    <w:p w:rsidR="009510F2" w:rsidRDefault="00683086">
      <w:pPr>
        <w:pStyle w:val="4"/>
      </w:pPr>
      <w:bookmarkStart w:id="11" w:name="_Toc3236"/>
      <w:proofErr w:type="gramStart"/>
      <w:r>
        <w:rPr>
          <w:rFonts w:hint="eastAsia"/>
        </w:rPr>
        <w:t>税总发</w:t>
      </w:r>
      <w:proofErr w:type="gramEnd"/>
      <w:r>
        <w:t>[2017]102</w:t>
      </w:r>
      <w:r>
        <w:rPr>
          <w:rFonts w:hint="eastAsia"/>
        </w:rPr>
        <w:t xml:space="preserve">号  </w:t>
      </w:r>
      <w:r>
        <w:t>2017</w:t>
      </w:r>
      <w:r>
        <w:rPr>
          <w:rFonts w:hint="eastAsia"/>
        </w:rPr>
        <w:t>-0</w:t>
      </w:r>
      <w:r>
        <w:t>9</w:t>
      </w:r>
      <w:r>
        <w:rPr>
          <w:rFonts w:hint="eastAsia"/>
        </w:rPr>
        <w:t>-0</w:t>
      </w:r>
      <w:r>
        <w:t>7</w:t>
      </w:r>
      <w:bookmarkEnd w:id="11"/>
    </w:p>
    <w:p w:rsidR="009510F2" w:rsidRDefault="00683086">
      <w:pPr>
        <w:spacing w:line="400" w:lineRule="exact"/>
        <w:ind w:firstLineChars="0" w:firstLine="0"/>
        <w:contextualSpacing/>
        <w:jc w:val="left"/>
      </w:pPr>
      <w:r>
        <w:rPr>
          <w:rFonts w:hint="eastAsia"/>
        </w:rPr>
        <w:t>各省、自治区、直辖市和计划单列市国家税务局、地方税务局：</w:t>
      </w:r>
    </w:p>
    <w:p w:rsidR="009510F2" w:rsidRDefault="00683086">
      <w:pPr>
        <w:spacing w:line="400" w:lineRule="exact"/>
        <w:ind w:firstLine="480"/>
        <w:contextualSpacing/>
        <w:jc w:val="left"/>
      </w:pPr>
      <w:r>
        <w:rPr>
          <w:rFonts w:hint="eastAsia"/>
        </w:rPr>
        <w:t>为落实《深化国税、地税征管体制改革方案》和《国务院关于强化实施创新驱动发展战略进一步推行大众创业万众创新深入发展的意见》</w:t>
      </w:r>
      <w:r>
        <w:t>(</w:t>
      </w:r>
      <w:r>
        <w:rPr>
          <w:rFonts w:hint="eastAsia"/>
        </w:rPr>
        <w:t>国发〔</w:t>
      </w:r>
      <w:r>
        <w:t>2017</w:t>
      </w:r>
      <w:r>
        <w:rPr>
          <w:rFonts w:hint="eastAsia"/>
        </w:rPr>
        <w:t>〕</w:t>
      </w:r>
      <w:r>
        <w:t>37</w:t>
      </w:r>
      <w:r>
        <w:rPr>
          <w:rFonts w:hint="eastAsia"/>
        </w:rPr>
        <w:t>号</w:t>
      </w:r>
      <w:r>
        <w:t>)</w:t>
      </w:r>
      <w:r>
        <w:rPr>
          <w:rFonts w:hint="eastAsia"/>
        </w:rPr>
        <w:t>关于</w:t>
      </w:r>
      <w:r>
        <w:t>“</w:t>
      </w:r>
      <w:r>
        <w:rPr>
          <w:rFonts w:hint="eastAsia"/>
        </w:rPr>
        <w:t>推进跨省经营企业部分涉税事项全国通办</w:t>
      </w:r>
      <w:r>
        <w:t>”</w:t>
      </w:r>
      <w:r>
        <w:rPr>
          <w:rFonts w:hint="eastAsia"/>
        </w:rPr>
        <w:t>的要求，按照《国家税务总局关于进一步深化税务系统</w:t>
      </w:r>
      <w:r>
        <w:t>“</w:t>
      </w:r>
      <w:r>
        <w:rPr>
          <w:rFonts w:hint="eastAsia"/>
        </w:rPr>
        <w:t>放管服</w:t>
      </w:r>
      <w:r>
        <w:t>”</w:t>
      </w:r>
      <w:r>
        <w:rPr>
          <w:rFonts w:hint="eastAsia"/>
        </w:rPr>
        <w:t>改革</w:t>
      </w:r>
      <w:r>
        <w:t xml:space="preserve"> </w:t>
      </w:r>
      <w:r>
        <w:rPr>
          <w:rFonts w:hint="eastAsia"/>
        </w:rPr>
        <w:t>优化税收环境的若干意见》</w:t>
      </w:r>
      <w:r>
        <w:t>(</w:t>
      </w:r>
      <w:proofErr w:type="gramStart"/>
      <w:r>
        <w:rPr>
          <w:rFonts w:hint="eastAsia"/>
        </w:rPr>
        <w:t>税总发</w:t>
      </w:r>
      <w:proofErr w:type="gramEnd"/>
      <w:r>
        <w:rPr>
          <w:rFonts w:hint="eastAsia"/>
        </w:rPr>
        <w:t>〔</w:t>
      </w:r>
      <w:r>
        <w:t>2017</w:t>
      </w:r>
      <w:r>
        <w:rPr>
          <w:rFonts w:hint="eastAsia"/>
        </w:rPr>
        <w:t>〕</w:t>
      </w:r>
      <w:r>
        <w:t>101</w:t>
      </w:r>
      <w:r>
        <w:rPr>
          <w:rFonts w:hint="eastAsia"/>
        </w:rPr>
        <w:t>号</w:t>
      </w:r>
      <w:r>
        <w:t>)</w:t>
      </w:r>
      <w:r>
        <w:rPr>
          <w:rFonts w:hint="eastAsia"/>
        </w:rPr>
        <w:t>的工作安排，为方便纳税人办税，税务总局决定对跨省经营企业部分涉税事项实行全国通办，现将有关事项通知如下：</w:t>
      </w:r>
    </w:p>
    <w:p w:rsidR="009510F2" w:rsidRDefault="00683086">
      <w:pPr>
        <w:spacing w:line="400" w:lineRule="exact"/>
        <w:ind w:firstLine="480"/>
        <w:contextualSpacing/>
        <w:jc w:val="left"/>
      </w:pPr>
      <w:r>
        <w:rPr>
          <w:rFonts w:hint="eastAsia"/>
        </w:rPr>
        <w:t>一、总体目标</w:t>
      </w:r>
    </w:p>
    <w:p w:rsidR="009510F2" w:rsidRDefault="00683086">
      <w:pPr>
        <w:spacing w:line="400" w:lineRule="exact"/>
        <w:ind w:firstLine="480"/>
        <w:contextualSpacing/>
        <w:jc w:val="left"/>
      </w:pPr>
      <w:r>
        <w:rPr>
          <w:rFonts w:hint="eastAsia"/>
        </w:rPr>
        <w:t>坚持税收预算级次和收入归属不变的原则，在纳税人主管税务机关不改变的前提下，为跨省经营企业提供更加便捷的办税服务，</w:t>
      </w:r>
      <w:r>
        <w:t>2017</w:t>
      </w:r>
      <w:r>
        <w:rPr>
          <w:rFonts w:hint="eastAsia"/>
        </w:rPr>
        <w:t>年底基本实现跨省经营企业部分涉税事项全国通办。</w:t>
      </w:r>
    </w:p>
    <w:p w:rsidR="009510F2" w:rsidRDefault="00683086">
      <w:pPr>
        <w:spacing w:line="400" w:lineRule="exact"/>
        <w:ind w:firstLine="480"/>
        <w:contextualSpacing/>
        <w:jc w:val="left"/>
      </w:pPr>
      <w:r>
        <w:rPr>
          <w:rFonts w:hint="eastAsia"/>
        </w:rPr>
        <w:t>二、</w:t>
      </w:r>
      <w:proofErr w:type="gramStart"/>
      <w:r>
        <w:rPr>
          <w:rFonts w:hint="eastAsia"/>
        </w:rPr>
        <w:t>通办范围</w:t>
      </w:r>
      <w:proofErr w:type="gramEnd"/>
    </w:p>
    <w:p w:rsidR="009510F2" w:rsidRDefault="00683086">
      <w:pPr>
        <w:spacing w:line="400" w:lineRule="exact"/>
        <w:ind w:firstLine="480"/>
        <w:contextualSpacing/>
        <w:jc w:val="left"/>
      </w:pPr>
      <w:proofErr w:type="gramStart"/>
      <w:r>
        <w:rPr>
          <w:rFonts w:hint="eastAsia"/>
        </w:rPr>
        <w:lastRenderedPageBreak/>
        <w:t>全国通办是</w:t>
      </w:r>
      <w:proofErr w:type="gramEnd"/>
      <w:r>
        <w:rPr>
          <w:rFonts w:hint="eastAsia"/>
        </w:rPr>
        <w:t>指跨省</w:t>
      </w:r>
      <w:r>
        <w:t>(</w:t>
      </w:r>
      <w:r>
        <w:rPr>
          <w:rFonts w:hint="eastAsia"/>
        </w:rPr>
        <w:t>自治区、直辖市、计划单列市</w:t>
      </w:r>
      <w:r>
        <w:t>)</w:t>
      </w:r>
      <w:r>
        <w:rPr>
          <w:rFonts w:hint="eastAsia"/>
        </w:rPr>
        <w:t>经营企业，可以根据办税需要就近选择税务机关申请办理异地涉税事项。</w:t>
      </w:r>
      <w:proofErr w:type="gramStart"/>
      <w:r>
        <w:rPr>
          <w:rFonts w:hint="eastAsia"/>
        </w:rPr>
        <w:t>全国通办的</w:t>
      </w:r>
      <w:proofErr w:type="gramEnd"/>
      <w:r>
        <w:rPr>
          <w:rFonts w:hint="eastAsia"/>
        </w:rPr>
        <w:t>涉税事项范围确定为</w:t>
      </w:r>
      <w:r>
        <w:t>4</w:t>
      </w:r>
      <w:r>
        <w:rPr>
          <w:rFonts w:hint="eastAsia"/>
        </w:rPr>
        <w:t>类</w:t>
      </w:r>
      <w:r>
        <w:t>15</w:t>
      </w:r>
      <w:r>
        <w:rPr>
          <w:rFonts w:hint="eastAsia"/>
        </w:rPr>
        <w:t>项</w:t>
      </w:r>
      <w:r>
        <w:t>(</w:t>
      </w:r>
      <w:r>
        <w:rPr>
          <w:rFonts w:hint="eastAsia"/>
        </w:rPr>
        <w:t>具体事项见附件</w:t>
      </w:r>
      <w:r>
        <w:t>)</w:t>
      </w:r>
      <w:r>
        <w:rPr>
          <w:rFonts w:hint="eastAsia"/>
        </w:rPr>
        <w:t>：</w:t>
      </w:r>
    </w:p>
    <w:p w:rsidR="009510F2" w:rsidRDefault="00683086">
      <w:pPr>
        <w:spacing w:line="400" w:lineRule="exact"/>
        <w:ind w:firstLine="480"/>
        <w:contextualSpacing/>
        <w:jc w:val="left"/>
      </w:pPr>
      <w:r>
        <w:rPr>
          <w:rFonts w:hint="eastAsia"/>
        </w:rPr>
        <w:t xml:space="preserve">　</w:t>
      </w:r>
      <w:r>
        <w:t>1.</w:t>
      </w:r>
      <w:r>
        <w:rPr>
          <w:rFonts w:hint="eastAsia"/>
        </w:rPr>
        <w:t>涉税信息报告类。具体包括存款账户账号报告、财务会计制度及核算软件备案报告。</w:t>
      </w:r>
    </w:p>
    <w:p w:rsidR="009510F2" w:rsidRDefault="00683086">
      <w:pPr>
        <w:spacing w:line="400" w:lineRule="exact"/>
        <w:ind w:firstLineChars="300" w:firstLine="720"/>
        <w:contextualSpacing/>
        <w:jc w:val="left"/>
      </w:pPr>
      <w:r>
        <w:t>2.</w:t>
      </w:r>
      <w:r>
        <w:rPr>
          <w:rFonts w:hint="eastAsia"/>
        </w:rPr>
        <w:t>申报纳税办理类。具体包括欠税人处置不动产或大额资产报告、纳税人合并分立情况报告、发包出租情况报告、企业年金职业年金扣缴报告。</w:t>
      </w:r>
    </w:p>
    <w:p w:rsidR="009510F2" w:rsidRDefault="00683086">
      <w:pPr>
        <w:spacing w:line="400" w:lineRule="exact"/>
        <w:ind w:firstLineChars="300" w:firstLine="720"/>
        <w:contextualSpacing/>
        <w:jc w:val="left"/>
      </w:pPr>
      <w:r>
        <w:t>3.</w:t>
      </w:r>
      <w:r>
        <w:rPr>
          <w:rFonts w:hint="eastAsia"/>
        </w:rPr>
        <w:t>优惠备案办理类。具体包括增值税优惠备案、消费税优惠备案、企业所得税优惠备案</w:t>
      </w:r>
      <w:r>
        <w:t>(</w:t>
      </w:r>
      <w:r>
        <w:rPr>
          <w:rFonts w:hint="eastAsia"/>
        </w:rPr>
        <w:t>根据税法规定由总机构统一备案的企业所得税优惠备案事项除外</w:t>
      </w:r>
      <w:r>
        <w:t>)</w:t>
      </w:r>
      <w:r>
        <w:rPr>
          <w:rFonts w:hint="eastAsia"/>
        </w:rPr>
        <w:t>、印花税优惠备案、车船税优惠备案、城市维护建设税优惠备案、教育费附加优惠备案。</w:t>
      </w:r>
    </w:p>
    <w:p w:rsidR="009510F2" w:rsidRDefault="00683086">
      <w:pPr>
        <w:spacing w:line="400" w:lineRule="exact"/>
        <w:ind w:firstLineChars="300" w:firstLine="720"/>
        <w:contextualSpacing/>
        <w:jc w:val="left"/>
      </w:pPr>
      <w:r>
        <w:t>4.</w:t>
      </w:r>
      <w:r>
        <w:rPr>
          <w:rFonts w:hint="eastAsia"/>
        </w:rPr>
        <w:t>证明办理类。具体包括完税证明开具、开具个人所得税完税证明。</w:t>
      </w:r>
    </w:p>
    <w:p w:rsidR="009510F2" w:rsidRDefault="00683086">
      <w:pPr>
        <w:spacing w:line="400" w:lineRule="exact"/>
        <w:ind w:firstLineChars="233" w:firstLine="559"/>
        <w:contextualSpacing/>
        <w:jc w:val="left"/>
      </w:pPr>
      <w:r>
        <w:rPr>
          <w:rFonts w:hint="eastAsia"/>
        </w:rPr>
        <w:t>三、</w:t>
      </w:r>
      <w:proofErr w:type="gramStart"/>
      <w:r>
        <w:rPr>
          <w:rFonts w:hint="eastAsia"/>
        </w:rPr>
        <w:t>通办方式</w:t>
      </w:r>
      <w:proofErr w:type="gramEnd"/>
    </w:p>
    <w:p w:rsidR="009510F2" w:rsidRDefault="00683086">
      <w:pPr>
        <w:spacing w:line="400" w:lineRule="exact"/>
        <w:ind w:firstLine="480"/>
        <w:contextualSpacing/>
        <w:jc w:val="left"/>
      </w:pPr>
      <w:proofErr w:type="gramStart"/>
      <w:r>
        <w:rPr>
          <w:rFonts w:hint="eastAsia"/>
        </w:rPr>
        <w:t>全国通办涉税</w:t>
      </w:r>
      <w:proofErr w:type="gramEnd"/>
      <w:r>
        <w:rPr>
          <w:rFonts w:hint="eastAsia"/>
        </w:rPr>
        <w:t>事项采取</w:t>
      </w:r>
      <w:r>
        <w:t>“</w:t>
      </w:r>
      <w:r>
        <w:rPr>
          <w:rFonts w:hint="eastAsia"/>
        </w:rPr>
        <w:t>异地受理，内部流转，属地办理，办结反馈</w:t>
      </w:r>
      <w:r>
        <w:t>”</w:t>
      </w:r>
      <w:r>
        <w:rPr>
          <w:rFonts w:hint="eastAsia"/>
        </w:rPr>
        <w:t>的方式办理。纳税人按规定提供资料及委托授权书向受理税务机关提出申请，由受理税务机关接收资料后，传递到属地税务机关办理，纳税人可以选择申请邮寄或主管税务机关领取办理结果</w:t>
      </w:r>
      <w:r>
        <w:t>(</w:t>
      </w:r>
      <w:r>
        <w:rPr>
          <w:rFonts w:hint="eastAsia"/>
        </w:rPr>
        <w:t>具体操作流程另行制定</w:t>
      </w:r>
      <w:r>
        <w:t>)</w:t>
      </w:r>
      <w:r>
        <w:rPr>
          <w:rFonts w:hint="eastAsia"/>
        </w:rPr>
        <w:t>。</w:t>
      </w:r>
    </w:p>
    <w:p w:rsidR="009510F2" w:rsidRDefault="00683086">
      <w:pPr>
        <w:spacing w:line="400" w:lineRule="exact"/>
        <w:ind w:firstLineChars="233" w:firstLine="559"/>
        <w:contextualSpacing/>
        <w:jc w:val="left"/>
      </w:pPr>
      <w:r>
        <w:rPr>
          <w:rFonts w:hint="eastAsia"/>
        </w:rPr>
        <w:t>四、工作要求</w:t>
      </w:r>
    </w:p>
    <w:p w:rsidR="009510F2" w:rsidRDefault="00683086">
      <w:pPr>
        <w:spacing w:line="400" w:lineRule="exact"/>
        <w:ind w:firstLine="480"/>
        <w:contextualSpacing/>
        <w:jc w:val="left"/>
      </w:pPr>
      <w:proofErr w:type="gramStart"/>
      <w:r>
        <w:rPr>
          <w:rFonts w:hint="eastAsia"/>
        </w:rPr>
        <w:t>全国通办是</w:t>
      </w:r>
      <w:proofErr w:type="gramEnd"/>
      <w:r>
        <w:rPr>
          <w:rFonts w:hint="eastAsia"/>
        </w:rPr>
        <w:t>落实国务院</w:t>
      </w:r>
      <w:r>
        <w:t>“</w:t>
      </w:r>
      <w:r>
        <w:rPr>
          <w:rFonts w:hint="eastAsia"/>
        </w:rPr>
        <w:t>放管服</w:t>
      </w:r>
      <w:r>
        <w:t>”</w:t>
      </w:r>
      <w:r>
        <w:rPr>
          <w:rFonts w:hint="eastAsia"/>
        </w:rPr>
        <w:t>改革要求、优化营商环境的举措，各地税务机关务必高度重视，按照职责分工，紧扣时间节点，加强协调沟通，对全国</w:t>
      </w:r>
      <w:proofErr w:type="gramStart"/>
      <w:r>
        <w:rPr>
          <w:rFonts w:hint="eastAsia"/>
        </w:rPr>
        <w:t>通办经办</w:t>
      </w:r>
      <w:proofErr w:type="gramEnd"/>
      <w:r>
        <w:rPr>
          <w:rFonts w:hint="eastAsia"/>
        </w:rPr>
        <w:t>人员培训到位。各级税务机关要加大宣传力度，通过网站、办税服务厅等渠道主动公开</w:t>
      </w:r>
      <w:proofErr w:type="gramStart"/>
      <w:r>
        <w:rPr>
          <w:rFonts w:hint="eastAsia"/>
        </w:rPr>
        <w:t>全国通办的</w:t>
      </w:r>
      <w:proofErr w:type="gramEnd"/>
      <w:r>
        <w:rPr>
          <w:rFonts w:hint="eastAsia"/>
        </w:rPr>
        <w:t>涉税事项和办理方式，便于纳税人自主选择，确保</w:t>
      </w:r>
      <w:r>
        <w:t>2017</w:t>
      </w:r>
      <w:r>
        <w:rPr>
          <w:rFonts w:hint="eastAsia"/>
        </w:rPr>
        <w:t>年</w:t>
      </w:r>
      <w:r>
        <w:t>12</w:t>
      </w:r>
      <w:r>
        <w:rPr>
          <w:rFonts w:hint="eastAsia"/>
        </w:rPr>
        <w:t>月</w:t>
      </w:r>
      <w:r>
        <w:t>31</w:t>
      </w:r>
      <w:r>
        <w:rPr>
          <w:rFonts w:hint="eastAsia"/>
        </w:rPr>
        <w:t>日前实现全国通办。</w:t>
      </w:r>
    </w:p>
    <w:p w:rsidR="009510F2" w:rsidRDefault="00683086">
      <w:pPr>
        <w:spacing w:line="400" w:lineRule="exact"/>
        <w:ind w:firstLineChars="233" w:firstLine="559"/>
        <w:contextualSpacing/>
        <w:jc w:val="left"/>
      </w:pPr>
      <w:r>
        <w:rPr>
          <w:rFonts w:hint="eastAsia"/>
        </w:rPr>
        <w:t>附件：跨省经营企业涉税事项全国</w:t>
      </w:r>
      <w:proofErr w:type="gramStart"/>
      <w:r>
        <w:rPr>
          <w:rFonts w:hint="eastAsia"/>
        </w:rPr>
        <w:t>通办目录</w:t>
      </w:r>
      <w:proofErr w:type="gramEnd"/>
      <w:r>
        <w:rPr>
          <w:rFonts w:hint="eastAsia"/>
        </w:rPr>
        <w:t>（略）</w:t>
      </w:r>
    </w:p>
    <w:p w:rsidR="009510F2" w:rsidRDefault="009510F2">
      <w:pPr>
        <w:spacing w:line="400" w:lineRule="exact"/>
        <w:ind w:firstLineChars="791" w:firstLine="2223"/>
        <w:contextualSpacing/>
        <w:rPr>
          <w:rFonts w:eastAsia="黑体"/>
          <w:b/>
          <w:sz w:val="28"/>
        </w:rPr>
      </w:pPr>
    </w:p>
    <w:p w:rsidR="009510F2" w:rsidRDefault="00683086">
      <w:pPr>
        <w:pStyle w:val="3"/>
      </w:pPr>
      <w:bookmarkStart w:id="12" w:name="_Toc12291"/>
      <w:r>
        <w:rPr>
          <w:rFonts w:hint="eastAsia"/>
        </w:rPr>
        <w:lastRenderedPageBreak/>
        <w:t>财政部</w:t>
      </w:r>
      <w:r>
        <w:rPr>
          <w:rFonts w:hint="eastAsia"/>
        </w:rPr>
        <w:t xml:space="preserve"> </w:t>
      </w:r>
      <w:r>
        <w:rPr>
          <w:rFonts w:hint="eastAsia"/>
        </w:rPr>
        <w:t>国家税务总局关于调整铁路</w:t>
      </w:r>
      <w:r>
        <w:rPr>
          <w:rFonts w:hint="eastAsia"/>
        </w:rPr>
        <w:br/>
      </w:r>
      <w:r>
        <w:rPr>
          <w:rFonts w:hint="eastAsia"/>
        </w:rPr>
        <w:t>和航空运输企业汇总缴纳增值税分支机构名单的通知</w:t>
      </w:r>
      <w:bookmarkEnd w:id="12"/>
    </w:p>
    <w:p w:rsidR="009510F2" w:rsidRDefault="00683086">
      <w:pPr>
        <w:pStyle w:val="4"/>
      </w:pPr>
      <w:bookmarkStart w:id="13" w:name="_Toc8260"/>
      <w:r>
        <w:rPr>
          <w:rFonts w:hint="eastAsia"/>
        </w:rPr>
        <w:t xml:space="preserve">财税〔2017〕67号  </w:t>
      </w:r>
      <w:r>
        <w:t>2017</w:t>
      </w:r>
      <w:r>
        <w:rPr>
          <w:rFonts w:hint="eastAsia"/>
        </w:rPr>
        <w:t>-</w:t>
      </w:r>
      <w:r>
        <w:t>8</w:t>
      </w:r>
      <w:r>
        <w:rPr>
          <w:rFonts w:hint="eastAsia"/>
        </w:rPr>
        <w:t>-</w:t>
      </w:r>
      <w:r>
        <w:t>22</w:t>
      </w:r>
      <w:bookmarkEnd w:id="13"/>
    </w:p>
    <w:p w:rsidR="009510F2" w:rsidRDefault="00683086">
      <w:pPr>
        <w:spacing w:line="400" w:lineRule="exact"/>
        <w:ind w:firstLine="480"/>
        <w:contextualSpacing/>
        <w:jc w:val="left"/>
      </w:pPr>
      <w:r>
        <w:rPr>
          <w:rFonts w:hint="eastAsia"/>
        </w:rPr>
        <w:t>各省、自治区、直辖市、计划单列市财政厅（局）、国家税务局、地方税务局，新疆生产建设兵团财务局：</w:t>
      </w:r>
    </w:p>
    <w:p w:rsidR="009510F2" w:rsidRDefault="00683086">
      <w:pPr>
        <w:spacing w:line="400" w:lineRule="exact"/>
        <w:ind w:firstLine="480"/>
        <w:contextualSpacing/>
        <w:jc w:val="left"/>
      </w:pPr>
      <w:r>
        <w:rPr>
          <w:rFonts w:hint="eastAsia"/>
        </w:rPr>
        <w:t>经研究，我们对铁路和航空运输企业汇总缴纳增值税分支机构名单进行了调整。现将有关内容通知如下：</w:t>
      </w:r>
    </w:p>
    <w:p w:rsidR="009510F2" w:rsidRDefault="00683086">
      <w:pPr>
        <w:spacing w:line="400" w:lineRule="exact"/>
        <w:ind w:firstLine="480"/>
        <w:contextualSpacing/>
        <w:jc w:val="left"/>
      </w:pPr>
      <w:r>
        <w:rPr>
          <w:rFonts w:hint="eastAsia"/>
        </w:rPr>
        <w:t>一、铁路运输企业</w:t>
      </w:r>
    </w:p>
    <w:p w:rsidR="009510F2" w:rsidRDefault="00683086">
      <w:pPr>
        <w:spacing w:line="400" w:lineRule="exact"/>
        <w:ind w:firstLineChars="150" w:firstLine="360"/>
        <w:contextualSpacing/>
        <w:jc w:val="left"/>
      </w:pPr>
      <w:r>
        <w:rPr>
          <w:rFonts w:hint="eastAsia"/>
        </w:rPr>
        <w:t>（一）对《</w:t>
      </w:r>
      <w:hyperlink r:id="rId17" w:tgtFrame="_self" w:tooltip="财政部 国家税务总局关于铁路运输企业汇总缴纳增值税的通知" w:history="1">
        <w:r>
          <w:rPr>
            <w:rFonts w:hint="eastAsia"/>
          </w:rPr>
          <w:t>财政部</w:t>
        </w:r>
        <w:r>
          <w:rPr>
            <w:rFonts w:hint="eastAsia"/>
          </w:rPr>
          <w:t> </w:t>
        </w:r>
        <w:r>
          <w:rPr>
            <w:rFonts w:hint="eastAsia"/>
          </w:rPr>
          <w:t>国家税务总局关于铁路运输企业汇总缴纳增值税的通知</w:t>
        </w:r>
      </w:hyperlink>
      <w:r>
        <w:rPr>
          <w:rFonts w:hint="eastAsia"/>
        </w:rPr>
        <w:t>》（</w:t>
      </w:r>
      <w:hyperlink r:id="rId18" w:tgtFrame="_self" w:tooltip="财税〔2013〕111号" w:history="1">
        <w:r>
          <w:rPr>
            <w:rFonts w:hint="eastAsia"/>
          </w:rPr>
          <w:t>财税〔</w:t>
        </w:r>
        <w:r>
          <w:t>2013</w:t>
        </w:r>
        <w:r>
          <w:rPr>
            <w:rFonts w:hint="eastAsia"/>
          </w:rPr>
          <w:t>〕</w:t>
        </w:r>
        <w:r>
          <w:t>111</w:t>
        </w:r>
        <w:r>
          <w:rPr>
            <w:rFonts w:hint="eastAsia"/>
          </w:rPr>
          <w:t>号</w:t>
        </w:r>
      </w:hyperlink>
      <w:r>
        <w:rPr>
          <w:rFonts w:hint="eastAsia"/>
        </w:rPr>
        <w:t>）的附件</w:t>
      </w:r>
      <w:r>
        <w:t>2</w:t>
      </w:r>
      <w:r>
        <w:rPr>
          <w:rFonts w:hint="eastAsia"/>
        </w:rPr>
        <w:t>，增补、取消本通知附件</w:t>
      </w:r>
      <w:r>
        <w:t>1</w:t>
      </w:r>
      <w:r>
        <w:rPr>
          <w:rFonts w:hint="eastAsia"/>
        </w:rPr>
        <w:t>所列的分支机构。</w:t>
      </w:r>
    </w:p>
    <w:p w:rsidR="009510F2" w:rsidRDefault="00683086">
      <w:pPr>
        <w:spacing w:line="400" w:lineRule="exact"/>
        <w:ind w:firstLineChars="150" w:firstLine="360"/>
        <w:contextualSpacing/>
        <w:jc w:val="left"/>
      </w:pPr>
      <w:r>
        <w:rPr>
          <w:rFonts w:hint="eastAsia"/>
        </w:rPr>
        <w:t>（二）对《</w:t>
      </w:r>
      <w:hyperlink r:id="rId19" w:tgtFrame="_self" w:tooltip="财政部 国家税务总局关于铁路运输企业汇总缴纳增值税的补充通知" w:history="1">
        <w:r>
          <w:rPr>
            <w:rFonts w:hint="eastAsia"/>
          </w:rPr>
          <w:t>财政部</w:t>
        </w:r>
        <w:r>
          <w:rPr>
            <w:rFonts w:hint="eastAsia"/>
          </w:rPr>
          <w:t> </w:t>
        </w:r>
        <w:r>
          <w:rPr>
            <w:rFonts w:hint="eastAsia"/>
          </w:rPr>
          <w:t>国家税务总局关于铁路运输企业汇总缴纳增值税的补充通知</w:t>
        </w:r>
      </w:hyperlink>
      <w:r>
        <w:rPr>
          <w:rFonts w:hint="eastAsia"/>
        </w:rPr>
        <w:t>》（</w:t>
      </w:r>
      <w:hyperlink r:id="rId20" w:tgtFrame="_self" w:tooltip="财税〔2014〕54号" w:history="1">
        <w:r>
          <w:rPr>
            <w:rFonts w:hint="eastAsia"/>
          </w:rPr>
          <w:t>财税〔</w:t>
        </w:r>
        <w:r>
          <w:t>2014</w:t>
        </w:r>
        <w:r>
          <w:rPr>
            <w:rFonts w:hint="eastAsia"/>
          </w:rPr>
          <w:t>〕</w:t>
        </w:r>
        <w:r>
          <w:t>54</w:t>
        </w:r>
        <w:r>
          <w:rPr>
            <w:rFonts w:hint="eastAsia"/>
          </w:rPr>
          <w:t>号</w:t>
        </w:r>
      </w:hyperlink>
      <w:r>
        <w:rPr>
          <w:rFonts w:hint="eastAsia"/>
        </w:rPr>
        <w:t>）的附件，取消本通知附件</w:t>
      </w:r>
      <w:r>
        <w:t>2</w:t>
      </w:r>
      <w:r>
        <w:rPr>
          <w:rFonts w:hint="eastAsia"/>
        </w:rPr>
        <w:t>所列的分支机构。</w:t>
      </w:r>
    </w:p>
    <w:p w:rsidR="009510F2" w:rsidRDefault="00683086">
      <w:pPr>
        <w:spacing w:line="400" w:lineRule="exact"/>
        <w:ind w:firstLine="480"/>
        <w:contextualSpacing/>
        <w:jc w:val="left"/>
      </w:pPr>
      <w:r>
        <w:rPr>
          <w:rFonts w:hint="eastAsia"/>
        </w:rPr>
        <w:t>（三）对《</w:t>
      </w:r>
      <w:hyperlink r:id="rId21" w:tgtFrame="_self" w:tooltip="关于调整铁路和航空运输企业汇总缴纳增值税分支机构名单的通知" w:history="1">
        <w:r>
          <w:rPr>
            <w:rFonts w:hint="eastAsia"/>
          </w:rPr>
          <w:t>财政部</w:t>
        </w:r>
        <w:r>
          <w:rPr>
            <w:rFonts w:hint="eastAsia"/>
          </w:rPr>
          <w:t> </w:t>
        </w:r>
        <w:r>
          <w:rPr>
            <w:rFonts w:hint="eastAsia"/>
          </w:rPr>
          <w:t>国家税务总局关于调整铁路和航空运输企业汇总缴纳增值税分支机构名单的通知</w:t>
        </w:r>
      </w:hyperlink>
      <w:r>
        <w:rPr>
          <w:rFonts w:hint="eastAsia"/>
        </w:rPr>
        <w:t>》（</w:t>
      </w:r>
      <w:hyperlink r:id="rId22" w:tgtFrame="_self" w:tooltip="财税〔2015〕87号" w:history="1">
        <w:r>
          <w:rPr>
            <w:rFonts w:hint="eastAsia"/>
          </w:rPr>
          <w:t>财税〔</w:t>
        </w:r>
        <w:r>
          <w:t>2015</w:t>
        </w:r>
        <w:r>
          <w:rPr>
            <w:rFonts w:hint="eastAsia"/>
          </w:rPr>
          <w:t>〕</w:t>
        </w:r>
        <w:r>
          <w:t>87</w:t>
        </w:r>
        <w:r>
          <w:rPr>
            <w:rFonts w:hint="eastAsia"/>
          </w:rPr>
          <w:t>号</w:t>
        </w:r>
      </w:hyperlink>
      <w:r>
        <w:rPr>
          <w:rFonts w:hint="eastAsia"/>
        </w:rPr>
        <w:t>）的附件</w:t>
      </w:r>
      <w:r>
        <w:t>2</w:t>
      </w:r>
      <w:r>
        <w:rPr>
          <w:rFonts w:hint="eastAsia"/>
        </w:rPr>
        <w:t>，更名本通知附件</w:t>
      </w:r>
      <w:r>
        <w:t>3</w:t>
      </w:r>
      <w:r>
        <w:rPr>
          <w:rFonts w:hint="eastAsia"/>
        </w:rPr>
        <w:t>所列的分支机构。</w:t>
      </w:r>
    </w:p>
    <w:p w:rsidR="009510F2" w:rsidRDefault="00683086">
      <w:pPr>
        <w:spacing w:line="400" w:lineRule="exact"/>
        <w:ind w:firstLine="480"/>
        <w:contextualSpacing/>
        <w:jc w:val="left"/>
      </w:pPr>
      <w:r>
        <w:rPr>
          <w:rFonts w:hint="eastAsia"/>
        </w:rPr>
        <w:t>上述增补和更名的铁路运输企业分支机构，</w:t>
      </w:r>
      <w:proofErr w:type="gramStart"/>
      <w:r>
        <w:rPr>
          <w:rFonts w:hint="eastAsia"/>
        </w:rPr>
        <w:t>自提供</w:t>
      </w:r>
      <w:proofErr w:type="gramEnd"/>
      <w:r>
        <w:rPr>
          <w:rFonts w:hint="eastAsia"/>
        </w:rPr>
        <w:t>铁路运输服务及相关的物流辅助服务之日起，按照</w:t>
      </w:r>
      <w:hyperlink r:id="rId23" w:tgtFrame="_self" w:tooltip="财税〔2013〕111号" w:history="1">
        <w:r>
          <w:rPr>
            <w:rFonts w:hint="eastAsia"/>
          </w:rPr>
          <w:t>财税〔</w:t>
        </w:r>
        <w:r>
          <w:t>2013</w:t>
        </w:r>
        <w:r>
          <w:rPr>
            <w:rFonts w:hint="eastAsia"/>
          </w:rPr>
          <w:t>〕</w:t>
        </w:r>
        <w:r>
          <w:t>111</w:t>
        </w:r>
        <w:r>
          <w:rPr>
            <w:rFonts w:hint="eastAsia"/>
          </w:rPr>
          <w:t>号</w:t>
        </w:r>
      </w:hyperlink>
      <w:r>
        <w:rPr>
          <w:rFonts w:hint="eastAsia"/>
        </w:rPr>
        <w:t>和</w:t>
      </w:r>
      <w:hyperlink r:id="rId24" w:tgtFrame="_self" w:tooltip="财税〔2014〕54号" w:history="1">
        <w:r>
          <w:rPr>
            <w:rFonts w:hint="eastAsia"/>
          </w:rPr>
          <w:t>财税〔</w:t>
        </w:r>
        <w:r>
          <w:t>2014</w:t>
        </w:r>
        <w:r>
          <w:rPr>
            <w:rFonts w:hint="eastAsia"/>
          </w:rPr>
          <w:t>〕</w:t>
        </w:r>
        <w:r>
          <w:t>54</w:t>
        </w:r>
        <w:r>
          <w:rPr>
            <w:rFonts w:hint="eastAsia"/>
          </w:rPr>
          <w:t>号</w:t>
        </w:r>
      </w:hyperlink>
      <w:r>
        <w:rPr>
          <w:rFonts w:hint="eastAsia"/>
        </w:rPr>
        <w:t>文件的规定缴纳增值税。</w:t>
      </w:r>
    </w:p>
    <w:p w:rsidR="009510F2" w:rsidRDefault="00683086">
      <w:pPr>
        <w:spacing w:line="400" w:lineRule="exact"/>
        <w:ind w:firstLine="480"/>
        <w:contextualSpacing/>
        <w:jc w:val="left"/>
      </w:pPr>
      <w:r>
        <w:rPr>
          <w:rFonts w:hint="eastAsia"/>
        </w:rPr>
        <w:t>上述取消的铁路运输企业分支机构，自本通知附件</w:t>
      </w:r>
      <w:r>
        <w:t>1</w:t>
      </w:r>
      <w:r>
        <w:rPr>
          <w:rFonts w:hint="eastAsia"/>
        </w:rPr>
        <w:t>和附件</w:t>
      </w:r>
      <w:r>
        <w:t>2</w:t>
      </w:r>
      <w:r>
        <w:rPr>
          <w:rFonts w:hint="eastAsia"/>
        </w:rPr>
        <w:t>列明的取消时间起，不再按照</w:t>
      </w:r>
      <w:hyperlink r:id="rId25" w:tgtFrame="_self" w:tooltip="财税〔2013〕111号" w:history="1">
        <w:r>
          <w:rPr>
            <w:rFonts w:hint="eastAsia"/>
          </w:rPr>
          <w:t>财税〔</w:t>
        </w:r>
        <w:r>
          <w:t>2013</w:t>
        </w:r>
        <w:r>
          <w:rPr>
            <w:rFonts w:hint="eastAsia"/>
          </w:rPr>
          <w:t>〕</w:t>
        </w:r>
        <w:r>
          <w:t>111</w:t>
        </w:r>
        <w:r>
          <w:rPr>
            <w:rFonts w:hint="eastAsia"/>
          </w:rPr>
          <w:t>号</w:t>
        </w:r>
      </w:hyperlink>
      <w:r>
        <w:rPr>
          <w:rFonts w:hint="eastAsia"/>
        </w:rPr>
        <w:t>和</w:t>
      </w:r>
      <w:hyperlink r:id="rId26" w:tgtFrame="_self" w:tooltip="财税[2014]54号" w:history="1">
        <w:r>
          <w:rPr>
            <w:rFonts w:hint="eastAsia"/>
          </w:rPr>
          <w:t>财税〔</w:t>
        </w:r>
        <w:r>
          <w:t>2014</w:t>
        </w:r>
        <w:r>
          <w:rPr>
            <w:rFonts w:hint="eastAsia"/>
          </w:rPr>
          <w:t>〕</w:t>
        </w:r>
        <w:r>
          <w:t>54</w:t>
        </w:r>
        <w:r>
          <w:rPr>
            <w:rFonts w:hint="eastAsia"/>
          </w:rPr>
          <w:t>号</w:t>
        </w:r>
      </w:hyperlink>
      <w:r>
        <w:rPr>
          <w:rFonts w:hint="eastAsia"/>
        </w:rPr>
        <w:t>文件的规定缴纳增值税。</w:t>
      </w:r>
    </w:p>
    <w:p w:rsidR="009510F2" w:rsidRDefault="00683086">
      <w:pPr>
        <w:spacing w:line="400" w:lineRule="exact"/>
        <w:ind w:firstLine="480"/>
        <w:contextualSpacing/>
        <w:jc w:val="left"/>
      </w:pPr>
      <w:r>
        <w:rPr>
          <w:rFonts w:hint="eastAsia"/>
        </w:rPr>
        <w:t>二、航空运输企业</w:t>
      </w:r>
    </w:p>
    <w:p w:rsidR="009510F2" w:rsidRDefault="00683086">
      <w:pPr>
        <w:spacing w:line="400" w:lineRule="exact"/>
        <w:ind w:firstLine="480"/>
        <w:contextualSpacing/>
        <w:jc w:val="left"/>
      </w:pPr>
      <w:r>
        <w:rPr>
          <w:rFonts w:hint="eastAsia"/>
        </w:rPr>
        <w:t>对《</w:t>
      </w:r>
      <w:hyperlink r:id="rId27" w:tgtFrame="_self" w:tooltip="财政部 国家税务总局关于部分航空运输企业总分机构增值税计算缴纳问题的通知" w:history="1">
        <w:r>
          <w:rPr>
            <w:rFonts w:hint="eastAsia"/>
          </w:rPr>
          <w:t>财政部</w:t>
        </w:r>
        <w:r>
          <w:rPr>
            <w:rFonts w:hint="eastAsia"/>
          </w:rPr>
          <w:t> </w:t>
        </w:r>
        <w:r>
          <w:rPr>
            <w:rFonts w:hint="eastAsia"/>
          </w:rPr>
          <w:t>国家税务总局关于部分航空运输企业总分机构增值税计算缴纳问题的通知</w:t>
        </w:r>
      </w:hyperlink>
      <w:r>
        <w:rPr>
          <w:rFonts w:hint="eastAsia"/>
        </w:rPr>
        <w:t>》（</w:t>
      </w:r>
      <w:hyperlink r:id="rId28" w:tgtFrame="_self" w:tooltip="财税〔2013〕86号" w:history="1">
        <w:r>
          <w:rPr>
            <w:rFonts w:hint="eastAsia"/>
          </w:rPr>
          <w:t>财税〔</w:t>
        </w:r>
        <w:r>
          <w:t>2013</w:t>
        </w:r>
        <w:r>
          <w:rPr>
            <w:rFonts w:hint="eastAsia"/>
          </w:rPr>
          <w:t>〕</w:t>
        </w:r>
        <w:r>
          <w:t>86</w:t>
        </w:r>
        <w:r>
          <w:rPr>
            <w:rFonts w:hint="eastAsia"/>
          </w:rPr>
          <w:t>号</w:t>
        </w:r>
      </w:hyperlink>
      <w:r>
        <w:rPr>
          <w:rFonts w:hint="eastAsia"/>
        </w:rPr>
        <w:t>）的附件</w:t>
      </w:r>
      <w:r>
        <w:t>2</w:t>
      </w:r>
      <w:r>
        <w:rPr>
          <w:rFonts w:hint="eastAsia"/>
        </w:rPr>
        <w:t>，增补本通知附件</w:t>
      </w:r>
      <w:r>
        <w:t>4</w:t>
      </w:r>
      <w:r>
        <w:rPr>
          <w:rFonts w:hint="eastAsia"/>
        </w:rPr>
        <w:t>所列分支机构。</w:t>
      </w:r>
    </w:p>
    <w:p w:rsidR="009510F2" w:rsidRDefault="00683086">
      <w:pPr>
        <w:spacing w:line="380" w:lineRule="exact"/>
        <w:ind w:firstLine="480"/>
        <w:contextualSpacing/>
        <w:jc w:val="left"/>
      </w:pPr>
      <w:r>
        <w:rPr>
          <w:rFonts w:hint="eastAsia"/>
        </w:rPr>
        <w:t>上述增补的航空运输企业分支机构，自本通知附件</w:t>
      </w:r>
      <w:r>
        <w:t>4</w:t>
      </w:r>
      <w:r>
        <w:rPr>
          <w:rFonts w:hint="eastAsia"/>
        </w:rPr>
        <w:t>列明的汇总纳税时间起，按照</w:t>
      </w:r>
      <w:hyperlink r:id="rId29" w:tgtFrame="_self" w:tooltip="财税〔2013〕86号" w:history="1">
        <w:r>
          <w:rPr>
            <w:rFonts w:hint="eastAsia"/>
          </w:rPr>
          <w:t>财税〔</w:t>
        </w:r>
        <w:r>
          <w:t>2013</w:t>
        </w:r>
        <w:r>
          <w:rPr>
            <w:rFonts w:hint="eastAsia"/>
          </w:rPr>
          <w:t>〕</w:t>
        </w:r>
        <w:r>
          <w:t>86</w:t>
        </w:r>
        <w:r>
          <w:rPr>
            <w:rFonts w:hint="eastAsia"/>
          </w:rPr>
          <w:t>号</w:t>
        </w:r>
      </w:hyperlink>
      <w:r>
        <w:rPr>
          <w:rFonts w:hint="eastAsia"/>
        </w:rPr>
        <w:t>文件的规定缴纳增值税。</w:t>
      </w:r>
    </w:p>
    <w:p w:rsidR="009510F2" w:rsidRDefault="009510F2">
      <w:pPr>
        <w:spacing w:line="380" w:lineRule="exact"/>
        <w:ind w:firstLine="480"/>
        <w:contextualSpacing/>
        <w:jc w:val="left"/>
      </w:pPr>
    </w:p>
    <w:p w:rsidR="009510F2" w:rsidRDefault="009510F2">
      <w:pPr>
        <w:spacing w:line="380" w:lineRule="exact"/>
        <w:ind w:firstLine="480"/>
        <w:contextualSpacing/>
        <w:jc w:val="left"/>
      </w:pPr>
    </w:p>
    <w:p w:rsidR="009510F2" w:rsidRDefault="00683086">
      <w:pPr>
        <w:widowControl w:val="0"/>
        <w:spacing w:line="380" w:lineRule="exact"/>
        <w:ind w:firstLineChars="0" w:firstLine="0"/>
        <w:contextualSpacing/>
        <w:rPr>
          <w:rFonts w:ascii="华文行楷" w:eastAsia="华文行楷" w:hAnsi="宋体" w:cs="宋体"/>
          <w:b/>
          <w:kern w:val="0"/>
          <w:sz w:val="32"/>
          <w:szCs w:val="32"/>
          <w:bdr w:val="single" w:sz="4" w:space="0" w:color="auto"/>
        </w:rPr>
      </w:pPr>
      <w:r>
        <w:rPr>
          <w:rFonts w:ascii="华文行楷" w:eastAsia="华文行楷" w:hAnsi="宋体" w:cs="宋体"/>
          <w:b/>
          <w:kern w:val="0"/>
          <w:sz w:val="32"/>
          <w:szCs w:val="32"/>
          <w:bdr w:val="single" w:sz="4" w:space="0" w:color="auto"/>
        </w:rPr>
        <w:t>相关</w:t>
      </w:r>
      <w:r>
        <w:rPr>
          <w:rFonts w:ascii="华文行楷" w:eastAsia="华文行楷" w:hAnsi="宋体" w:cs="宋体" w:hint="eastAsia"/>
          <w:b/>
          <w:kern w:val="0"/>
          <w:sz w:val="32"/>
          <w:szCs w:val="32"/>
          <w:bdr w:val="single" w:sz="4" w:space="0" w:color="auto"/>
        </w:rPr>
        <w:t>法规</w:t>
      </w:r>
    </w:p>
    <w:p w:rsidR="009510F2" w:rsidRDefault="009510F2">
      <w:pPr>
        <w:spacing w:line="380" w:lineRule="exact"/>
        <w:ind w:firstLineChars="0" w:firstLine="0"/>
        <w:contextualSpacing/>
        <w:rPr>
          <w:rFonts w:eastAsia="黑体"/>
          <w:b/>
          <w:sz w:val="28"/>
        </w:rPr>
      </w:pPr>
    </w:p>
    <w:p w:rsidR="009510F2" w:rsidRDefault="00683086">
      <w:pPr>
        <w:pStyle w:val="3"/>
      </w:pPr>
      <w:bookmarkStart w:id="14" w:name="_Toc7764"/>
      <w:r>
        <w:rPr>
          <w:rFonts w:hint="eastAsia"/>
        </w:rPr>
        <w:t>国家税务总局关于进一步</w:t>
      </w:r>
      <w:r>
        <w:rPr>
          <w:rFonts w:hint="eastAsia"/>
        </w:rPr>
        <w:br/>
      </w:r>
      <w:r>
        <w:rPr>
          <w:rFonts w:hint="eastAsia"/>
        </w:rPr>
        <w:t>深化税务系统</w:t>
      </w:r>
      <w:r>
        <w:t>“</w:t>
      </w:r>
      <w:r>
        <w:rPr>
          <w:rFonts w:hint="eastAsia"/>
        </w:rPr>
        <w:t>放管服</w:t>
      </w:r>
      <w:r>
        <w:t>”</w:t>
      </w:r>
      <w:r>
        <w:rPr>
          <w:rFonts w:hint="eastAsia"/>
        </w:rPr>
        <w:t>改革优化税收环境的若干意见</w:t>
      </w:r>
      <w:bookmarkEnd w:id="14"/>
    </w:p>
    <w:p w:rsidR="009510F2" w:rsidRDefault="00683086">
      <w:pPr>
        <w:pStyle w:val="4"/>
      </w:pPr>
      <w:bookmarkStart w:id="15" w:name="_Toc24024"/>
      <w:proofErr w:type="gramStart"/>
      <w:r>
        <w:rPr>
          <w:rFonts w:hint="eastAsia"/>
        </w:rPr>
        <w:t>税总发</w:t>
      </w:r>
      <w:proofErr w:type="gramEnd"/>
      <w:r>
        <w:t>[2017]101</w:t>
      </w:r>
      <w:r>
        <w:rPr>
          <w:rFonts w:hint="eastAsia"/>
        </w:rPr>
        <w:t xml:space="preserve">号  </w:t>
      </w:r>
      <w:r>
        <w:t>2017</w:t>
      </w:r>
      <w:r>
        <w:rPr>
          <w:rFonts w:hint="eastAsia"/>
        </w:rPr>
        <w:t>-</w:t>
      </w:r>
      <w:r>
        <w:t>9</w:t>
      </w:r>
      <w:r>
        <w:rPr>
          <w:rFonts w:hint="eastAsia"/>
        </w:rPr>
        <w:t>-</w:t>
      </w:r>
      <w:r>
        <w:t>14</w:t>
      </w:r>
      <w:bookmarkEnd w:id="15"/>
    </w:p>
    <w:p w:rsidR="009510F2" w:rsidRDefault="00683086">
      <w:pPr>
        <w:spacing w:line="380" w:lineRule="exact"/>
        <w:ind w:firstLine="480"/>
        <w:contextualSpacing/>
        <w:jc w:val="left"/>
      </w:pPr>
      <w:r>
        <w:rPr>
          <w:rFonts w:hint="eastAsia"/>
        </w:rPr>
        <w:t>各省、自治区、直辖市和计划单列市国家税务局、地方税务局，局内各单位：</w:t>
      </w:r>
    </w:p>
    <w:p w:rsidR="009510F2" w:rsidRDefault="00683086">
      <w:pPr>
        <w:spacing w:line="380" w:lineRule="exact"/>
        <w:ind w:firstLine="480"/>
        <w:contextualSpacing/>
        <w:jc w:val="left"/>
      </w:pPr>
      <w:r>
        <w:rPr>
          <w:rFonts w:hint="eastAsia"/>
        </w:rPr>
        <w:t>为深入贯彻落实党中央、国务院关于优化营商环境和推进</w:t>
      </w:r>
      <w:r>
        <w:t>“</w:t>
      </w:r>
      <w:r>
        <w:rPr>
          <w:rFonts w:hint="eastAsia"/>
        </w:rPr>
        <w:t>放管服</w:t>
      </w:r>
      <w:r>
        <w:t>”</w:t>
      </w:r>
      <w:r>
        <w:rPr>
          <w:rFonts w:hint="eastAsia"/>
        </w:rPr>
        <w:t>改革的系列部署，进一步深化税务系统</w:t>
      </w:r>
      <w:r>
        <w:t>“</w:t>
      </w:r>
      <w:r>
        <w:rPr>
          <w:rFonts w:hint="eastAsia"/>
        </w:rPr>
        <w:t>放管服</w:t>
      </w:r>
      <w:r>
        <w:t>”</w:t>
      </w:r>
      <w:r>
        <w:rPr>
          <w:rFonts w:hint="eastAsia"/>
        </w:rPr>
        <w:t>改革，优化税收环境，激发市场主体创业创新活力，制定本意见。</w:t>
      </w:r>
    </w:p>
    <w:p w:rsidR="009510F2" w:rsidRDefault="00683086">
      <w:pPr>
        <w:spacing w:line="380" w:lineRule="exact"/>
        <w:ind w:firstLineChars="233" w:firstLine="559"/>
        <w:contextualSpacing/>
        <w:jc w:val="left"/>
      </w:pPr>
      <w:r>
        <w:rPr>
          <w:rFonts w:hint="eastAsia"/>
        </w:rPr>
        <w:t>一、总体要求</w:t>
      </w:r>
    </w:p>
    <w:p w:rsidR="009510F2" w:rsidRDefault="00683086">
      <w:pPr>
        <w:spacing w:line="380" w:lineRule="exact"/>
        <w:ind w:firstLine="480"/>
        <w:contextualSpacing/>
        <w:jc w:val="left"/>
      </w:pPr>
      <w:r>
        <w:rPr>
          <w:rFonts w:hint="eastAsia"/>
        </w:rPr>
        <w:t>进一步深化税务系统</w:t>
      </w:r>
      <w:r>
        <w:t>“</w:t>
      </w:r>
      <w:r>
        <w:rPr>
          <w:rFonts w:hint="eastAsia"/>
        </w:rPr>
        <w:t>放管服</w:t>
      </w:r>
      <w:r>
        <w:t>”</w:t>
      </w:r>
      <w:r>
        <w:rPr>
          <w:rFonts w:hint="eastAsia"/>
        </w:rPr>
        <w:t>改革是转变职能、发挥税收作用的关键所在，是深化国税、地税征管体制改革的重要任务，是优化税收环境、减轻纳税人负担的重要抓手，对于提升税收治理能力，营造稳定公平透明、可预期的营商环境，实现税收现代化具有十分重要的意义。</w:t>
      </w:r>
    </w:p>
    <w:p w:rsidR="009510F2" w:rsidRDefault="00683086">
      <w:pPr>
        <w:spacing w:line="380" w:lineRule="exact"/>
        <w:ind w:firstLine="480"/>
        <w:contextualSpacing/>
        <w:jc w:val="left"/>
      </w:pPr>
      <w:r>
        <w:rPr>
          <w:rFonts w:hint="eastAsia"/>
        </w:rPr>
        <w:t>近年来，全国税务系统勇于创新，开拓进取，持续推进</w:t>
      </w:r>
      <w:r>
        <w:t>“</w:t>
      </w:r>
      <w:r>
        <w:rPr>
          <w:rFonts w:hint="eastAsia"/>
        </w:rPr>
        <w:t>放管服</w:t>
      </w:r>
      <w:r>
        <w:t>”</w:t>
      </w:r>
      <w:r>
        <w:rPr>
          <w:rFonts w:hint="eastAsia"/>
        </w:rPr>
        <w:t>改革，取得了明显成效。在简政放权上做</w:t>
      </w:r>
      <w:r>
        <w:t>“</w:t>
      </w:r>
      <w:r>
        <w:rPr>
          <w:rFonts w:hint="eastAsia"/>
        </w:rPr>
        <w:t>减法</w:t>
      </w:r>
      <w:r>
        <w:t>”</w:t>
      </w:r>
      <w:r>
        <w:rPr>
          <w:rFonts w:hint="eastAsia"/>
        </w:rPr>
        <w:t>，大幅度削减税务行政审批事项，进一步优化审批流程，精简涉税资料，有效便利了纳税人</w:t>
      </w:r>
      <w:r>
        <w:t>;</w:t>
      </w:r>
      <w:r>
        <w:rPr>
          <w:rFonts w:hint="eastAsia"/>
        </w:rPr>
        <w:t>在后续管理上做</w:t>
      </w:r>
      <w:r>
        <w:t>“</w:t>
      </w:r>
      <w:r>
        <w:rPr>
          <w:rFonts w:hint="eastAsia"/>
        </w:rPr>
        <w:t>加法</w:t>
      </w:r>
      <w:r>
        <w:t>”</w:t>
      </w:r>
      <w:r>
        <w:rPr>
          <w:rFonts w:hint="eastAsia"/>
        </w:rPr>
        <w:t>，加快转变税收征管方式，出台系列工作规范，依托金税三期系统和增值税发票管理新系统加大信息管税和风险管理力度，建立健全了事中事后管理体系</w:t>
      </w:r>
      <w:r>
        <w:t>;</w:t>
      </w:r>
      <w:r>
        <w:rPr>
          <w:rFonts w:hint="eastAsia"/>
        </w:rPr>
        <w:t>在优化服务上做</w:t>
      </w:r>
      <w:r>
        <w:t>“</w:t>
      </w:r>
      <w:r>
        <w:rPr>
          <w:rFonts w:hint="eastAsia"/>
        </w:rPr>
        <w:t>乘法</w:t>
      </w:r>
      <w:r>
        <w:t>”</w:t>
      </w:r>
      <w:r>
        <w:rPr>
          <w:rFonts w:hint="eastAsia"/>
        </w:rPr>
        <w:t>，持续开展</w:t>
      </w:r>
      <w:r>
        <w:t>“</w:t>
      </w:r>
      <w:r>
        <w:rPr>
          <w:rFonts w:hint="eastAsia"/>
        </w:rPr>
        <w:t>便民办税春风行动</w:t>
      </w:r>
      <w:r>
        <w:t>”</w:t>
      </w:r>
      <w:r>
        <w:rPr>
          <w:rFonts w:hint="eastAsia"/>
        </w:rPr>
        <w:t>，深入推进国税局、地税局合作，增强了纳税人获得感。同时也应看到，与全面深化改革的新形势新要求相比，与广大纳税人和基层税务干部的期盼相比，税务系统</w:t>
      </w:r>
      <w:r>
        <w:t>“</w:t>
      </w:r>
      <w:r>
        <w:rPr>
          <w:rFonts w:hint="eastAsia"/>
        </w:rPr>
        <w:t>放管服</w:t>
      </w:r>
      <w:r>
        <w:t>”</w:t>
      </w:r>
      <w:r>
        <w:rPr>
          <w:rFonts w:hint="eastAsia"/>
        </w:rPr>
        <w:t>改革还有待进一步深化，在思想理念、制度机制、管理手段等方面仍存在一些需要解决的问题，税收环境还需要进一步优化。</w:t>
      </w:r>
    </w:p>
    <w:p w:rsidR="009510F2" w:rsidRDefault="00683086">
      <w:pPr>
        <w:spacing w:line="380" w:lineRule="exact"/>
        <w:ind w:firstLine="480"/>
        <w:contextualSpacing/>
        <w:jc w:val="left"/>
      </w:pPr>
      <w:r>
        <w:rPr>
          <w:rFonts w:hint="eastAsia"/>
        </w:rPr>
        <w:t>全国税务系统要深入学习贯彻习近平总书记系列重要讲话精神和党中央治国</w:t>
      </w:r>
      <w:proofErr w:type="gramStart"/>
      <w:r>
        <w:rPr>
          <w:rFonts w:hint="eastAsia"/>
        </w:rPr>
        <w:t>理政新理念</w:t>
      </w:r>
      <w:proofErr w:type="gramEnd"/>
      <w:r>
        <w:rPr>
          <w:rFonts w:hint="eastAsia"/>
        </w:rPr>
        <w:t>新思想新战略，认真落实党中央、国务院关于优化营商环境和深化</w:t>
      </w:r>
      <w:r>
        <w:t>“</w:t>
      </w:r>
      <w:r>
        <w:rPr>
          <w:rFonts w:hint="eastAsia"/>
        </w:rPr>
        <w:t>放管服</w:t>
      </w:r>
      <w:r>
        <w:t>”</w:t>
      </w:r>
      <w:r>
        <w:rPr>
          <w:rFonts w:hint="eastAsia"/>
        </w:rPr>
        <w:t>改革系列部署，结合开展深化国税、地税征管体制</w:t>
      </w:r>
      <w:r>
        <w:rPr>
          <w:rFonts w:hint="eastAsia"/>
        </w:rPr>
        <w:lastRenderedPageBreak/>
        <w:t>改革和金税三期全面上线等改革</w:t>
      </w:r>
      <w:r>
        <w:t>“</w:t>
      </w:r>
      <w:r>
        <w:rPr>
          <w:rFonts w:hint="eastAsia"/>
        </w:rPr>
        <w:t>回头看</w:t>
      </w:r>
      <w:r>
        <w:t>”</w:t>
      </w:r>
      <w:r>
        <w:rPr>
          <w:rFonts w:hint="eastAsia"/>
        </w:rPr>
        <w:t>，坚持问题导向、集成导向、目标导向，对焦纳税人需求和基层税务干部期盼，继续加大税务系统简政放权力度，一体化推进办税便利化改革，创新事中事后监管方式，充分释放税收信息化潜能，推动税务系统</w:t>
      </w:r>
      <w:r>
        <w:t>“</w:t>
      </w:r>
      <w:r>
        <w:rPr>
          <w:rFonts w:hint="eastAsia"/>
        </w:rPr>
        <w:t>放管服</w:t>
      </w:r>
      <w:r>
        <w:t>”</w:t>
      </w:r>
      <w:r>
        <w:rPr>
          <w:rFonts w:hint="eastAsia"/>
        </w:rPr>
        <w:t>改革提质升级，进一步优化税收环境，提升税收治理能力和服务水平。</w:t>
      </w:r>
    </w:p>
    <w:p w:rsidR="009510F2" w:rsidRDefault="00683086">
      <w:pPr>
        <w:spacing w:line="380" w:lineRule="exact"/>
        <w:ind w:firstLineChars="233" w:firstLine="559"/>
        <w:contextualSpacing/>
        <w:jc w:val="left"/>
      </w:pPr>
      <w:r>
        <w:rPr>
          <w:rFonts w:hint="eastAsia"/>
        </w:rPr>
        <w:t>二、主要任务</w:t>
      </w:r>
    </w:p>
    <w:p w:rsidR="009510F2" w:rsidRDefault="00683086">
      <w:pPr>
        <w:spacing w:line="380" w:lineRule="exact"/>
        <w:ind w:firstLineChars="100" w:firstLine="240"/>
        <w:contextualSpacing/>
        <w:jc w:val="left"/>
      </w:pPr>
      <w:r>
        <w:rPr>
          <w:rFonts w:hint="eastAsia"/>
        </w:rPr>
        <w:t xml:space="preserve">　</w:t>
      </w:r>
      <w:r>
        <w:t>(</w:t>
      </w:r>
      <w:proofErr w:type="gramStart"/>
      <w:r>
        <w:rPr>
          <w:rFonts w:hint="eastAsia"/>
        </w:rPr>
        <w:t>一</w:t>
      </w:r>
      <w:proofErr w:type="gramEnd"/>
      <w:r>
        <w:t>)</w:t>
      </w:r>
      <w:r>
        <w:rPr>
          <w:rFonts w:hint="eastAsia"/>
        </w:rPr>
        <w:t>进一步深化简政放权</w:t>
      </w:r>
    </w:p>
    <w:p w:rsidR="009510F2" w:rsidRDefault="00683086">
      <w:pPr>
        <w:spacing w:line="380" w:lineRule="exact"/>
        <w:ind w:firstLine="480"/>
        <w:contextualSpacing/>
        <w:jc w:val="left"/>
      </w:pPr>
      <w:r>
        <w:rPr>
          <w:rFonts w:hint="eastAsia"/>
        </w:rPr>
        <w:t>坚持放要彻底且有序，进一步取消税务行政审批和前置性审核事项，精简纳税人资料报送，打造权力瘦身的</w:t>
      </w:r>
      <w:r>
        <w:t>“</w:t>
      </w:r>
      <w:r>
        <w:rPr>
          <w:rFonts w:hint="eastAsia"/>
        </w:rPr>
        <w:t>紧身衣</w:t>
      </w:r>
      <w:r>
        <w:t>”</w:t>
      </w:r>
      <w:r>
        <w:rPr>
          <w:rFonts w:hint="eastAsia"/>
        </w:rPr>
        <w:t>，切实为纳税人减负。</w:t>
      </w:r>
    </w:p>
    <w:p w:rsidR="009510F2" w:rsidRDefault="00683086">
      <w:pPr>
        <w:spacing w:line="380" w:lineRule="exact"/>
        <w:ind w:firstLine="480"/>
        <w:contextualSpacing/>
        <w:jc w:val="left"/>
      </w:pPr>
      <w:r>
        <w:t>1.</w:t>
      </w:r>
      <w:r>
        <w:rPr>
          <w:rFonts w:hint="eastAsia"/>
        </w:rPr>
        <w:t>减少和优化税务行政审批。报经国务院批准后，取消非居民企业汇总缴纳企业所得税机构场所的审批，由纳税人自主选择纳税申报地点。结合纳税人信用积分确定增值税专用发票最高开票限额和用票数量，完善最高开票限额管理，推动取消最高开票限额审批，便利纳税人生产经营。</w:t>
      </w:r>
    </w:p>
    <w:p w:rsidR="009510F2" w:rsidRDefault="00683086">
      <w:pPr>
        <w:spacing w:line="380" w:lineRule="exact"/>
        <w:ind w:firstLine="480"/>
        <w:contextualSpacing/>
        <w:jc w:val="left"/>
      </w:pPr>
      <w:r>
        <w:t>2.</w:t>
      </w:r>
      <w:r>
        <w:rPr>
          <w:rFonts w:hint="eastAsia"/>
        </w:rPr>
        <w:t>推行税收权力和责任清单。制定税务系统权责清单范本，推进权力和责任清单规范化工作，确保相同的权力和责任事项，在各级税务机关的名称、类型、依据、履</w:t>
      </w:r>
      <w:proofErr w:type="gramStart"/>
      <w:r>
        <w:rPr>
          <w:rFonts w:hint="eastAsia"/>
        </w:rPr>
        <w:t>责方式</w:t>
      </w:r>
      <w:proofErr w:type="gramEnd"/>
      <w:r>
        <w:rPr>
          <w:rFonts w:hint="eastAsia"/>
        </w:rPr>
        <w:t>和追责情形统一规范，努力形成上下贯通、有机衔接、运转顺畅、透明高效的全国税务系统权责清单运行体系。</w:t>
      </w:r>
    </w:p>
    <w:p w:rsidR="009510F2" w:rsidRDefault="00683086">
      <w:pPr>
        <w:spacing w:line="380" w:lineRule="exact"/>
        <w:ind w:firstLineChars="100" w:firstLine="240"/>
        <w:contextualSpacing/>
        <w:jc w:val="left"/>
      </w:pPr>
      <w:r>
        <w:rPr>
          <w:rFonts w:hint="eastAsia"/>
        </w:rPr>
        <w:t xml:space="preserve">　</w:t>
      </w:r>
      <w:r>
        <w:t>3.</w:t>
      </w:r>
      <w:r>
        <w:rPr>
          <w:rFonts w:hint="eastAsia"/>
        </w:rPr>
        <w:t>简化纳税人设立、迁移、注销手续。办税服务厅不设置新办纳税人补充登记窗口，</w:t>
      </w:r>
      <w:r>
        <w:t>“</w:t>
      </w:r>
      <w:r>
        <w:rPr>
          <w:rFonts w:hint="eastAsia"/>
        </w:rPr>
        <w:t>多证合一</w:t>
      </w:r>
      <w:r>
        <w:t>”</w:t>
      </w:r>
      <w:r>
        <w:rPr>
          <w:rFonts w:hint="eastAsia"/>
        </w:rPr>
        <w:t>纳税人首次办税时不进行信息补充采集。加强与工商部门沟通协调，建立工商登记数据质量和传输的通报、对账机制及管理办法，提升共享信息的准确性和完整性。取消外出经营税收管理证明，实行网上报验。简化纳税人在本省内跨市、县变更登记流程，便利市场主体自由迁移。制定简易注销办法，实现市场主体退出便利化。</w:t>
      </w:r>
    </w:p>
    <w:p w:rsidR="009510F2" w:rsidRDefault="00683086">
      <w:pPr>
        <w:spacing w:line="380" w:lineRule="exact"/>
        <w:ind w:firstLineChars="250" w:firstLine="600"/>
        <w:contextualSpacing/>
        <w:jc w:val="left"/>
      </w:pPr>
      <w:r>
        <w:t>4.</w:t>
      </w:r>
      <w:r>
        <w:rPr>
          <w:rFonts w:hint="eastAsia"/>
        </w:rPr>
        <w:t>改进纳税人优惠备案和合同备案。改进各税种优惠备案方式，基本实现税收优惠资料由报送税务机关改为纳税人留存备查，减轻纳税人备案负担。简化建筑业企业选择简易计税备案事项。取消非居民企业源泉扣缴合同备案环节，优化对外支付备案程序。</w:t>
      </w:r>
    </w:p>
    <w:p w:rsidR="009510F2" w:rsidRDefault="00683086">
      <w:pPr>
        <w:spacing w:line="380" w:lineRule="exact"/>
        <w:ind w:firstLineChars="250" w:firstLine="600"/>
        <w:contextualSpacing/>
        <w:jc w:val="left"/>
      </w:pPr>
      <w:r>
        <w:t>5.</w:t>
      </w:r>
      <w:r>
        <w:rPr>
          <w:rFonts w:hint="eastAsia"/>
        </w:rPr>
        <w:t>精简涉税资料报送。清理纳税人向税务机关报送资料，</w:t>
      </w:r>
      <w:r>
        <w:t>2018</w:t>
      </w:r>
      <w:r>
        <w:rPr>
          <w:rFonts w:hint="eastAsia"/>
        </w:rPr>
        <w:t>年年底前精简四分之一以上。实行涉税资料清单管理，清单之外原则上不得要求纳税人报送。将小</w:t>
      </w:r>
      <w:proofErr w:type="gramStart"/>
      <w:r>
        <w:rPr>
          <w:rFonts w:hint="eastAsia"/>
        </w:rPr>
        <w:t>微企业</w:t>
      </w:r>
      <w:proofErr w:type="gramEnd"/>
      <w:r>
        <w:rPr>
          <w:rFonts w:hint="eastAsia"/>
        </w:rPr>
        <w:t>财务报表由按月报送改为按季报送，减少小</w:t>
      </w:r>
      <w:proofErr w:type="gramStart"/>
      <w:r>
        <w:rPr>
          <w:rFonts w:hint="eastAsia"/>
        </w:rPr>
        <w:t>微企业</w:t>
      </w:r>
      <w:proofErr w:type="gramEnd"/>
      <w:r>
        <w:rPr>
          <w:rFonts w:hint="eastAsia"/>
        </w:rPr>
        <w:t>报表报送次数。推动涉税资料电子化，减少纳税人纸质资料报送。</w:t>
      </w:r>
    </w:p>
    <w:p w:rsidR="009510F2" w:rsidRDefault="00683086">
      <w:pPr>
        <w:spacing w:line="380" w:lineRule="exact"/>
        <w:ind w:firstLineChars="233" w:firstLine="559"/>
        <w:contextualSpacing/>
        <w:jc w:val="left"/>
      </w:pPr>
      <w:r>
        <w:t>(</w:t>
      </w:r>
      <w:r>
        <w:rPr>
          <w:rFonts w:hint="eastAsia"/>
        </w:rPr>
        <w:t>二</w:t>
      </w:r>
      <w:r>
        <w:t>)</w:t>
      </w:r>
      <w:r>
        <w:rPr>
          <w:rFonts w:hint="eastAsia"/>
        </w:rPr>
        <w:t>切实创新监管方式</w:t>
      </w:r>
    </w:p>
    <w:p w:rsidR="009510F2" w:rsidRDefault="00683086">
      <w:pPr>
        <w:spacing w:line="380" w:lineRule="exact"/>
        <w:ind w:firstLineChars="100" w:firstLine="240"/>
        <w:contextualSpacing/>
        <w:jc w:val="left"/>
      </w:pPr>
      <w:r>
        <w:rPr>
          <w:rFonts w:hint="eastAsia"/>
        </w:rPr>
        <w:lastRenderedPageBreak/>
        <w:t>坚持管要规范且有效，树立诚信推定、风险监控、信用管理等现代税收管理理念，加强事中事后监管机制和制度建设，推动转变税收征管方式，提高税收征管效能。</w:t>
      </w:r>
    </w:p>
    <w:p w:rsidR="009510F2" w:rsidRDefault="00683086">
      <w:pPr>
        <w:spacing w:line="380" w:lineRule="exact"/>
        <w:ind w:firstLine="480"/>
        <w:contextualSpacing/>
        <w:jc w:val="left"/>
      </w:pPr>
      <w:r>
        <w:t>6.</w:t>
      </w:r>
      <w:r>
        <w:rPr>
          <w:rFonts w:hint="eastAsia"/>
        </w:rPr>
        <w:t>改革税收管理员制度。按照属地固定管户向分类分级管理转变的要求，合理确定税收管理员工作职责，简并整合日常事务性管理事项，健全完善税源管理的衔接机制和配套制度，税收管理员主要做好以风险应对为重点的事中事后管理，进一步实现管理方式转型。</w:t>
      </w:r>
    </w:p>
    <w:p w:rsidR="009510F2" w:rsidRDefault="00683086">
      <w:pPr>
        <w:spacing w:line="380" w:lineRule="exact"/>
        <w:ind w:firstLine="480"/>
        <w:contextualSpacing/>
        <w:jc w:val="left"/>
      </w:pPr>
      <w:r>
        <w:t>7.</w:t>
      </w:r>
      <w:r>
        <w:rPr>
          <w:rFonts w:hint="eastAsia"/>
        </w:rPr>
        <w:t>全面推行实名办税。建立健全实名办税制度，按照企业类型、涉税风险等因素，合理确定实名信息采集范围。推行国税局、地税局实名信息双方互认，实现一次采集多次、多处使用。充分利用实名身份信息，简并相关附报资料，优化办税流程，加强信用管理，防范领用、代开发票等各类涉税风险。</w:t>
      </w:r>
    </w:p>
    <w:p w:rsidR="009510F2" w:rsidRDefault="00683086">
      <w:pPr>
        <w:spacing w:line="380" w:lineRule="exact"/>
        <w:ind w:firstLine="480"/>
        <w:contextualSpacing/>
        <w:jc w:val="left"/>
      </w:pPr>
      <w:r>
        <w:t>8.</w:t>
      </w:r>
      <w:r>
        <w:rPr>
          <w:rFonts w:hint="eastAsia"/>
        </w:rPr>
        <w:t>推进跨区域风险管理协作。打通省际之间、国税局与地税局之间横向通道，建立税务系统内部追逃清单，加强异常普通发票、失控增值税专用发票等风险信息交换，推进非正常户、</w:t>
      </w:r>
      <w:r>
        <w:t>D</w:t>
      </w:r>
      <w:proofErr w:type="gramStart"/>
      <w:r>
        <w:rPr>
          <w:rFonts w:hint="eastAsia"/>
        </w:rPr>
        <w:t>级信用户</w:t>
      </w:r>
      <w:proofErr w:type="gramEnd"/>
      <w:r>
        <w:rPr>
          <w:rFonts w:hint="eastAsia"/>
        </w:rPr>
        <w:t>、涉嫌骗税和虚开发票纳税人等风险情报信息共享，提升跨区域风险监控能力。</w:t>
      </w:r>
    </w:p>
    <w:p w:rsidR="009510F2" w:rsidRDefault="00683086">
      <w:pPr>
        <w:spacing w:line="380" w:lineRule="exact"/>
        <w:ind w:firstLine="480"/>
        <w:contextualSpacing/>
        <w:jc w:val="left"/>
      </w:pPr>
      <w:r>
        <w:t>9.</w:t>
      </w:r>
      <w:r>
        <w:rPr>
          <w:rFonts w:hint="eastAsia"/>
        </w:rPr>
        <w:t>建立信用动态监管方式。完善纳税信用管理制度，扩大纳税信用评价范围，缩短评价周期。以推行实名办税为契机，归集办税人员信用记录，建立办税人员涉税信用管理制度，加强个人信用与企业信用之间的联动。运用税收大数据，建立信用积分制度，健全动态信用评价和风险评估指标体系，实现对纳税人信用和风险状况的动态监控评价，根据监控评价结果实施分类服务和差异化管理。</w:t>
      </w:r>
    </w:p>
    <w:p w:rsidR="009510F2" w:rsidRDefault="00683086">
      <w:pPr>
        <w:spacing w:line="380" w:lineRule="exact"/>
        <w:ind w:firstLine="480"/>
        <w:contextualSpacing/>
        <w:jc w:val="left"/>
      </w:pPr>
      <w:r>
        <w:t>10.</w:t>
      </w:r>
      <w:r>
        <w:rPr>
          <w:rFonts w:hint="eastAsia"/>
        </w:rPr>
        <w:t>优化征管资源配置。各地税务机关建立与制度改革和业务创新相配套</w:t>
      </w:r>
      <w:proofErr w:type="gramStart"/>
      <w:r>
        <w:rPr>
          <w:rFonts w:hint="eastAsia"/>
        </w:rPr>
        <w:t>的岗责体系</w:t>
      </w:r>
      <w:proofErr w:type="gramEnd"/>
      <w:r>
        <w:rPr>
          <w:rFonts w:hint="eastAsia"/>
        </w:rPr>
        <w:t>，明确各部门间的专业化分工关系，优化整合办税服务资源，强化风险管理资源配置，做好前后台职责分工衔接，实现征管资源集约化利用。</w:t>
      </w:r>
    </w:p>
    <w:p w:rsidR="009510F2" w:rsidRDefault="00683086">
      <w:pPr>
        <w:spacing w:line="380" w:lineRule="exact"/>
        <w:ind w:firstLineChars="100" w:firstLine="240"/>
        <w:contextualSpacing/>
        <w:jc w:val="left"/>
      </w:pPr>
      <w:r>
        <w:rPr>
          <w:rFonts w:hint="eastAsia"/>
        </w:rPr>
        <w:t xml:space="preserve">　</w:t>
      </w:r>
      <w:r>
        <w:t>11.</w:t>
      </w:r>
      <w:r>
        <w:rPr>
          <w:rFonts w:hint="eastAsia"/>
        </w:rPr>
        <w:t>强化部门协同合作。各地国税局、地税局要联合加强与外部门之间的合作，提高协税护税水平。进一步推动将纳税信用体系融入社会信用体系，强化守信联合激励和失信联合惩戒，构建纳税人自律、社会监督和行政监管相结合的合作机制。深入推进</w:t>
      </w:r>
      <w:r>
        <w:t>“</w:t>
      </w:r>
      <w:r>
        <w:rPr>
          <w:rFonts w:hint="eastAsia"/>
        </w:rPr>
        <w:t>银税互动</w:t>
      </w:r>
      <w:r>
        <w:t>”</w:t>
      </w:r>
      <w:r>
        <w:rPr>
          <w:rFonts w:hint="eastAsia"/>
        </w:rPr>
        <w:t>，加大银</w:t>
      </w:r>
      <w:proofErr w:type="gramStart"/>
      <w:r>
        <w:rPr>
          <w:rFonts w:hint="eastAsia"/>
        </w:rPr>
        <w:t>税合作</w:t>
      </w:r>
      <w:proofErr w:type="gramEnd"/>
      <w:r>
        <w:rPr>
          <w:rFonts w:hint="eastAsia"/>
        </w:rPr>
        <w:t>力度，逐步扩大税务、银行信用信息共享内容，助力解决小</w:t>
      </w:r>
      <w:proofErr w:type="gramStart"/>
      <w:r>
        <w:rPr>
          <w:rFonts w:hint="eastAsia"/>
        </w:rPr>
        <w:t>微企业</w:t>
      </w:r>
      <w:proofErr w:type="gramEnd"/>
      <w:r>
        <w:rPr>
          <w:rFonts w:hint="eastAsia"/>
        </w:rPr>
        <w:t>融资贵、融资难问题。</w:t>
      </w:r>
    </w:p>
    <w:p w:rsidR="009510F2" w:rsidRDefault="00683086">
      <w:pPr>
        <w:spacing w:line="380" w:lineRule="exact"/>
        <w:ind w:firstLineChars="233" w:firstLine="559"/>
        <w:contextualSpacing/>
        <w:jc w:val="left"/>
      </w:pPr>
      <w:r>
        <w:lastRenderedPageBreak/>
        <w:t>(</w:t>
      </w:r>
      <w:r>
        <w:rPr>
          <w:rFonts w:hint="eastAsia"/>
        </w:rPr>
        <w:t>三</w:t>
      </w:r>
      <w:r>
        <w:t>)</w:t>
      </w:r>
      <w:r>
        <w:rPr>
          <w:rFonts w:hint="eastAsia"/>
        </w:rPr>
        <w:t>不断优化纳税服务</w:t>
      </w:r>
    </w:p>
    <w:p w:rsidR="009510F2" w:rsidRDefault="00683086">
      <w:pPr>
        <w:spacing w:line="380" w:lineRule="exact"/>
        <w:ind w:firstLine="480"/>
        <w:contextualSpacing/>
        <w:jc w:val="left"/>
      </w:pPr>
      <w:r>
        <w:rPr>
          <w:rFonts w:hint="eastAsia"/>
        </w:rPr>
        <w:t>坚持服要优质且有感，以问题为导向，抓住主要矛盾，调整关键环节，充分应用现代信息技术，创新服务方式，让纳税人办税更便捷、更贴心、更舒心。</w:t>
      </w:r>
    </w:p>
    <w:p w:rsidR="009510F2" w:rsidRDefault="00683086">
      <w:pPr>
        <w:spacing w:line="380" w:lineRule="exact"/>
        <w:ind w:firstLine="480"/>
        <w:contextualSpacing/>
        <w:jc w:val="left"/>
      </w:pPr>
      <w:r>
        <w:t>12.</w:t>
      </w:r>
      <w:r>
        <w:rPr>
          <w:rFonts w:hint="eastAsia"/>
        </w:rPr>
        <w:t>推行新办纳税人</w:t>
      </w:r>
      <w:r>
        <w:t>“</w:t>
      </w:r>
      <w:r>
        <w:rPr>
          <w:rFonts w:hint="eastAsia"/>
        </w:rPr>
        <w:t>零门槛</w:t>
      </w:r>
      <w:r>
        <w:t>”</w:t>
      </w:r>
      <w:r>
        <w:rPr>
          <w:rFonts w:hint="eastAsia"/>
        </w:rPr>
        <w:t>办税。为新办纳税人提供</w:t>
      </w:r>
      <w:r>
        <w:t>“</w:t>
      </w:r>
      <w:r>
        <w:rPr>
          <w:rFonts w:hint="eastAsia"/>
        </w:rPr>
        <w:t>套餐式</w:t>
      </w:r>
      <w:r>
        <w:t>”</w:t>
      </w:r>
      <w:r>
        <w:rPr>
          <w:rFonts w:hint="eastAsia"/>
        </w:rPr>
        <w:t>服务，一次性办结多个涉税事项。将增值税普通发票核定事项由限时办结改为即时办结，大幅缩短办理时间。将无不良信用记录的新办纳税人纳入取消增值税专用发票认证范围，减轻纳税人发票认证负担和办税服务厅工作压力。</w:t>
      </w:r>
    </w:p>
    <w:p w:rsidR="009510F2" w:rsidRDefault="00683086">
      <w:pPr>
        <w:spacing w:line="380" w:lineRule="exact"/>
        <w:ind w:firstLine="480"/>
        <w:contextualSpacing/>
        <w:jc w:val="left"/>
      </w:pPr>
      <w:r>
        <w:t>13.</w:t>
      </w:r>
      <w:r>
        <w:rPr>
          <w:rFonts w:hint="eastAsia"/>
        </w:rPr>
        <w:t>创新发票服务方式。推进税务信息系统与公路收费系统对接，依托收费公路通行费增值税发票服务平台开具增值税电子普通发票，推动物流行业降本增效。试行代开增值税普通发票</w:t>
      </w:r>
      <w:r>
        <w:t>“</w:t>
      </w:r>
      <w:r>
        <w:rPr>
          <w:rFonts w:hint="eastAsia"/>
        </w:rPr>
        <w:t>线上申请、网上缴税、自行出票</w:t>
      </w:r>
      <w:r>
        <w:t>”</w:t>
      </w:r>
      <w:r>
        <w:rPr>
          <w:rFonts w:hint="eastAsia"/>
        </w:rPr>
        <w:t>模式，分行业扩大小规模纳税人自行开具增值税专用发票试点范围，促进小</w:t>
      </w:r>
      <w:proofErr w:type="gramStart"/>
      <w:r>
        <w:rPr>
          <w:rFonts w:hint="eastAsia"/>
        </w:rPr>
        <w:t>微企业</w:t>
      </w:r>
      <w:proofErr w:type="gramEnd"/>
      <w:r>
        <w:rPr>
          <w:rFonts w:hint="eastAsia"/>
        </w:rPr>
        <w:t>发展。</w:t>
      </w:r>
      <w:proofErr w:type="gramStart"/>
      <w:r>
        <w:rPr>
          <w:rFonts w:hint="eastAsia"/>
        </w:rPr>
        <w:t>适应商</w:t>
      </w:r>
      <w:proofErr w:type="gramEnd"/>
      <w:r>
        <w:rPr>
          <w:rFonts w:hint="eastAsia"/>
        </w:rPr>
        <w:t>事制度改革要求，推行税控器具网上变更。推动完善发票管理制度，取消发票领购簿等规定。</w:t>
      </w:r>
    </w:p>
    <w:p w:rsidR="009510F2" w:rsidRDefault="00683086">
      <w:pPr>
        <w:spacing w:line="380" w:lineRule="exact"/>
        <w:ind w:firstLineChars="150" w:firstLine="360"/>
        <w:contextualSpacing/>
        <w:jc w:val="left"/>
      </w:pPr>
      <w:r>
        <w:t>14.</w:t>
      </w:r>
      <w:r>
        <w:rPr>
          <w:rFonts w:hint="eastAsia"/>
        </w:rPr>
        <w:t>便利申报。简并优化增值税、消费税、企业所得税等税种申报表，提供网上办理更正申报功能，较大幅度精简表单填报，缩减纳税人申报纳税准备时间。定期定额个体工商户实际经营额、所得额不超过定额的，取消年度汇总申报。</w:t>
      </w:r>
    </w:p>
    <w:p w:rsidR="009510F2" w:rsidRDefault="00683086">
      <w:pPr>
        <w:spacing w:line="380" w:lineRule="exact"/>
        <w:ind w:firstLine="480"/>
        <w:contextualSpacing/>
        <w:jc w:val="left"/>
      </w:pPr>
      <w:r>
        <w:t>15.</w:t>
      </w:r>
      <w:r>
        <w:rPr>
          <w:rFonts w:hint="eastAsia"/>
        </w:rPr>
        <w:t>大力推行网上办税、就近办税。税务总局编制办税事项</w:t>
      </w:r>
      <w:r>
        <w:t>“</w:t>
      </w:r>
      <w:r>
        <w:rPr>
          <w:rFonts w:hint="eastAsia"/>
        </w:rPr>
        <w:t>最多跑一次</w:t>
      </w:r>
      <w:r>
        <w:t>”</w:t>
      </w:r>
      <w:r>
        <w:rPr>
          <w:rFonts w:hint="eastAsia"/>
        </w:rPr>
        <w:t>清单，推进跨省经营企业涉税事项全国通办，最大限度减少纳税人到办税服务厅次数。省税务机关编制办税事项</w:t>
      </w:r>
      <w:r>
        <w:t>“</w:t>
      </w:r>
      <w:r>
        <w:rPr>
          <w:rFonts w:hint="eastAsia"/>
        </w:rPr>
        <w:t>全程网上办</w:t>
      </w:r>
      <w:r>
        <w:t>”</w:t>
      </w:r>
      <w:r>
        <w:rPr>
          <w:rFonts w:hint="eastAsia"/>
        </w:rPr>
        <w:t>清单，在部分地区试行国税、地税业务省内通办，实现纳税人就近办理涉税事项。</w:t>
      </w:r>
    </w:p>
    <w:p w:rsidR="009510F2" w:rsidRDefault="00683086">
      <w:pPr>
        <w:spacing w:line="380" w:lineRule="exact"/>
        <w:ind w:firstLineChars="150" w:firstLine="360"/>
        <w:contextualSpacing/>
        <w:jc w:val="left"/>
      </w:pPr>
      <w:r>
        <w:t>16.</w:t>
      </w:r>
      <w:r>
        <w:rPr>
          <w:rFonts w:hint="eastAsia"/>
        </w:rPr>
        <w:t>深化国税局、地税局合作。拓展网上办税功能，实现纳税人应纳增值税、消费税等主税和地方附加税费的一体化申报缴税。推行国税局、地税局联合签署税银协议，</w:t>
      </w:r>
      <w:proofErr w:type="gramStart"/>
      <w:r>
        <w:rPr>
          <w:rFonts w:hint="eastAsia"/>
        </w:rPr>
        <w:t>实现线</w:t>
      </w:r>
      <w:proofErr w:type="gramEnd"/>
      <w:r>
        <w:rPr>
          <w:rFonts w:hint="eastAsia"/>
        </w:rPr>
        <w:t>上线下</w:t>
      </w:r>
      <w:proofErr w:type="gramStart"/>
      <w:r>
        <w:rPr>
          <w:rFonts w:hint="eastAsia"/>
        </w:rPr>
        <w:t>一方签署</w:t>
      </w:r>
      <w:proofErr w:type="gramEnd"/>
      <w:r>
        <w:rPr>
          <w:rFonts w:hint="eastAsia"/>
        </w:rPr>
        <w:t>双方互认，解决纳税人多头跑问题。打通国税局、地税局信息壁垒，扩大一方采集、双方共享范围。在更大范围内，实现纳税人</w:t>
      </w:r>
      <w:r>
        <w:t>“</w:t>
      </w:r>
      <w:r>
        <w:rPr>
          <w:rFonts w:hint="eastAsia"/>
        </w:rPr>
        <w:t>进一个门、上一个网、办两家事</w:t>
      </w:r>
      <w:r>
        <w:t>”</w:t>
      </w:r>
      <w:r>
        <w:rPr>
          <w:rFonts w:hint="eastAsia"/>
        </w:rPr>
        <w:t>。</w:t>
      </w:r>
    </w:p>
    <w:p w:rsidR="009510F2" w:rsidRDefault="00683086">
      <w:pPr>
        <w:spacing w:line="380" w:lineRule="exact"/>
        <w:ind w:firstLine="480"/>
        <w:contextualSpacing/>
        <w:jc w:val="left"/>
      </w:pPr>
      <w:r>
        <w:t>17.</w:t>
      </w:r>
      <w:r>
        <w:rPr>
          <w:rFonts w:hint="eastAsia"/>
        </w:rPr>
        <w:t>提高政策服务透明度。对税收政策科学分类，明确上网发布渠道和形式，升级</w:t>
      </w:r>
      <w:r>
        <w:t>12366</w:t>
      </w:r>
      <w:r>
        <w:rPr>
          <w:rFonts w:hint="eastAsia"/>
        </w:rPr>
        <w:t>纳税服务平台，提高税收政策透明度。省税务机关畅通</w:t>
      </w:r>
      <w:r>
        <w:t>12366</w:t>
      </w:r>
      <w:r>
        <w:rPr>
          <w:rFonts w:hint="eastAsia"/>
        </w:rPr>
        <w:t>、门户网站、网上办税服务厅等渠道，加大税收热点问题的宣传解读，及时回应纳税人对税收政策确定性的服务需求。</w:t>
      </w:r>
    </w:p>
    <w:p w:rsidR="009510F2" w:rsidRDefault="00683086">
      <w:pPr>
        <w:spacing w:line="380" w:lineRule="exact"/>
        <w:ind w:firstLine="480"/>
        <w:contextualSpacing/>
        <w:jc w:val="left"/>
      </w:pPr>
      <w:r>
        <w:lastRenderedPageBreak/>
        <w:t>18.</w:t>
      </w:r>
      <w:r>
        <w:rPr>
          <w:rFonts w:hint="eastAsia"/>
        </w:rPr>
        <w:t>完善纳税服务评价机制。对照世界银行营商环境纳税评价指标，积极参与国家营商环境税收指标的制定和评价工作。结合我国国情、税情，建立纳税便利</w:t>
      </w:r>
      <w:proofErr w:type="gramStart"/>
      <w:r>
        <w:rPr>
          <w:rFonts w:hint="eastAsia"/>
        </w:rPr>
        <w:t>化评价</w:t>
      </w:r>
      <w:proofErr w:type="gramEnd"/>
      <w:r>
        <w:rPr>
          <w:rFonts w:hint="eastAsia"/>
        </w:rPr>
        <w:t>指标体系，完善纳税人评价进一步深化税务系统</w:t>
      </w:r>
      <w:r>
        <w:t>“</w:t>
      </w:r>
      <w:r>
        <w:rPr>
          <w:rFonts w:hint="eastAsia"/>
        </w:rPr>
        <w:t>放管服</w:t>
      </w:r>
      <w:r>
        <w:t>”</w:t>
      </w:r>
      <w:r>
        <w:rPr>
          <w:rFonts w:hint="eastAsia"/>
        </w:rPr>
        <w:t>改革、优化税收环境成效的机制。</w:t>
      </w:r>
    </w:p>
    <w:p w:rsidR="009510F2" w:rsidRDefault="00683086">
      <w:pPr>
        <w:spacing w:line="380" w:lineRule="exact"/>
        <w:ind w:firstLineChars="233" w:firstLine="559"/>
        <w:contextualSpacing/>
        <w:jc w:val="left"/>
      </w:pPr>
      <w:r>
        <w:t>(</w:t>
      </w:r>
      <w:r>
        <w:rPr>
          <w:rFonts w:hint="eastAsia"/>
        </w:rPr>
        <w:t>四</w:t>
      </w:r>
      <w:r>
        <w:t>)</w:t>
      </w:r>
      <w:r>
        <w:rPr>
          <w:rFonts w:hint="eastAsia"/>
        </w:rPr>
        <w:t>持续改进税收执法</w:t>
      </w:r>
    </w:p>
    <w:p w:rsidR="009510F2" w:rsidRDefault="00683086">
      <w:pPr>
        <w:spacing w:line="380" w:lineRule="exact"/>
        <w:ind w:firstLine="480"/>
        <w:contextualSpacing/>
        <w:jc w:val="left"/>
      </w:pPr>
      <w:r>
        <w:rPr>
          <w:rFonts w:hint="eastAsia"/>
        </w:rPr>
        <w:t>坚持法治思维，规范税收执法权力运行，加强执法行为监督，维护纳税人合法权益，营造公开公平公正文明的税收法治环境，促进市场主体公平竞争。</w:t>
      </w:r>
    </w:p>
    <w:p w:rsidR="009510F2" w:rsidRDefault="00683086">
      <w:pPr>
        <w:spacing w:line="380" w:lineRule="exact"/>
        <w:ind w:firstLine="480"/>
        <w:contextualSpacing/>
      </w:pPr>
      <w:r>
        <w:t>19.</w:t>
      </w:r>
      <w:r>
        <w:rPr>
          <w:rFonts w:hint="eastAsia"/>
        </w:rPr>
        <w:t>规范税务行政处罚。各省国税局、地税局联合制定并实施税务行政处罚裁量基准，实行重大税务行政处罚集体审议，减少税务行政处罚裁量空间。完善简易处罚流程，简化办理环节，合并执法文书，提高执法效率。</w:t>
      </w:r>
    </w:p>
    <w:p w:rsidR="009510F2" w:rsidRDefault="00683086">
      <w:pPr>
        <w:spacing w:line="380" w:lineRule="exact"/>
        <w:ind w:firstLine="480"/>
        <w:contextualSpacing/>
        <w:jc w:val="left"/>
      </w:pPr>
      <w:r>
        <w:t>20.</w:t>
      </w:r>
      <w:r>
        <w:rPr>
          <w:rFonts w:hint="eastAsia"/>
        </w:rPr>
        <w:t>严格核定征收管理。严格依法行使税收核定权，进一步规范各税种和个体工商户定期定额核定征收的标准、程序和计算方法</w:t>
      </w:r>
      <w:r>
        <w:t>;</w:t>
      </w:r>
      <w:r>
        <w:rPr>
          <w:rFonts w:hint="eastAsia"/>
        </w:rPr>
        <w:t>国税局、地税局联合开展核定征收，统一核定基数，保证同一区域内规模相当的同类或者类似纳税人的核定结果基本相当。推行核定信息公开，完善公开内容和程序，提高核定征收透明度。</w:t>
      </w:r>
    </w:p>
    <w:p w:rsidR="009510F2" w:rsidRDefault="00683086">
      <w:pPr>
        <w:spacing w:line="380" w:lineRule="exact"/>
        <w:ind w:firstLine="480"/>
        <w:contextualSpacing/>
        <w:jc w:val="left"/>
      </w:pPr>
      <w:r>
        <w:t>21.</w:t>
      </w:r>
      <w:r>
        <w:rPr>
          <w:rFonts w:hint="eastAsia"/>
        </w:rPr>
        <w:t>科学应用风险应对策略。以风险管理为导向，对信用级别低、风险等级高的纳税人实施重点监控</w:t>
      </w:r>
      <w:r>
        <w:t>;</w:t>
      </w:r>
      <w:r>
        <w:rPr>
          <w:rFonts w:hint="eastAsia"/>
        </w:rPr>
        <w:t>对风险等级低的纳税人主要做好风险提示提醒，促进纳税人自我修正、自愿遵从</w:t>
      </w:r>
      <w:r>
        <w:t>;</w:t>
      </w:r>
      <w:r>
        <w:rPr>
          <w:rFonts w:hint="eastAsia"/>
        </w:rPr>
        <w:t>对信用级别高、无风险的纳税人避免不当打扰。</w:t>
      </w:r>
    </w:p>
    <w:p w:rsidR="009510F2" w:rsidRDefault="00683086">
      <w:pPr>
        <w:spacing w:line="380" w:lineRule="exact"/>
        <w:ind w:firstLine="480"/>
        <w:contextualSpacing/>
        <w:jc w:val="left"/>
      </w:pPr>
      <w:r>
        <w:t>22.</w:t>
      </w:r>
      <w:r>
        <w:rPr>
          <w:rFonts w:hint="eastAsia"/>
        </w:rPr>
        <w:t>完善税务稽查执法机制。加强税务稽查</w:t>
      </w:r>
      <w:r>
        <w:t>“</w:t>
      </w:r>
      <w:r>
        <w:rPr>
          <w:rFonts w:hint="eastAsia"/>
        </w:rPr>
        <w:t>双随机、</w:t>
      </w:r>
      <w:proofErr w:type="gramStart"/>
      <w:r>
        <w:rPr>
          <w:rFonts w:hint="eastAsia"/>
        </w:rPr>
        <w:t>一</w:t>
      </w:r>
      <w:proofErr w:type="gramEnd"/>
      <w:r>
        <w:rPr>
          <w:rFonts w:hint="eastAsia"/>
        </w:rPr>
        <w:t>公开</w:t>
      </w:r>
      <w:r>
        <w:t>”</w:t>
      </w:r>
      <w:r>
        <w:rPr>
          <w:rFonts w:hint="eastAsia"/>
        </w:rPr>
        <w:t>监管，进一步强化金税三期双随机工作平台的运用和管理，结合信用管理、</w:t>
      </w:r>
      <w:r>
        <w:t>“</w:t>
      </w:r>
      <w:r>
        <w:rPr>
          <w:rFonts w:hint="eastAsia"/>
        </w:rPr>
        <w:t>黑名单</w:t>
      </w:r>
      <w:r>
        <w:t>”</w:t>
      </w:r>
      <w:r>
        <w:rPr>
          <w:rFonts w:hint="eastAsia"/>
        </w:rPr>
        <w:t>合理确定随机抽查的比例和频次，及时公开随机抽查事项清单和查处结果，提高稽查随机抽查的针对性、有效性和透明度。拓展跨区域稽查范围，提升税务稽查资源的配置效率。</w:t>
      </w:r>
    </w:p>
    <w:p w:rsidR="009510F2" w:rsidRDefault="00683086">
      <w:pPr>
        <w:spacing w:line="380" w:lineRule="exact"/>
        <w:ind w:firstLine="480"/>
        <w:contextualSpacing/>
        <w:jc w:val="left"/>
      </w:pPr>
      <w:r>
        <w:t>23.</w:t>
      </w:r>
      <w:r>
        <w:rPr>
          <w:rFonts w:hint="eastAsia"/>
        </w:rPr>
        <w:t>加强风险应对扎口管理。省税务机关建立健全风险应对任务扎口管理机制，统一通过金税三期风险管理平台集中推送风险应对任务。加强进户执法计划管理，合并进户执法事项，推行国税局、地税局联合执法，避免对同一纳税人多头执法、重复检查。</w:t>
      </w:r>
    </w:p>
    <w:p w:rsidR="009510F2" w:rsidRDefault="00683086">
      <w:pPr>
        <w:spacing w:line="380" w:lineRule="exact"/>
        <w:ind w:firstLine="480"/>
        <w:contextualSpacing/>
        <w:jc w:val="left"/>
      </w:pPr>
      <w:r>
        <w:t>24.</w:t>
      </w:r>
      <w:r>
        <w:rPr>
          <w:rFonts w:hint="eastAsia"/>
        </w:rPr>
        <w:t>加强税收执法监督。扩大税务行政执法公示制度、执法全过程记录制度、重大执法决定法制审核制度试点，保障和监督税务机关有效履行</w:t>
      </w:r>
      <w:r>
        <w:rPr>
          <w:rFonts w:hint="eastAsia"/>
        </w:rPr>
        <w:lastRenderedPageBreak/>
        <w:t>职责。深入推行税收执法责任制，依托信息化手段，实现对执法过错行为的事后追责。进一步加强和改进税务行政应诉工作，积极预防和化解税务行政争议。</w:t>
      </w:r>
    </w:p>
    <w:p w:rsidR="009510F2" w:rsidRDefault="00683086">
      <w:pPr>
        <w:spacing w:line="380" w:lineRule="exact"/>
        <w:ind w:firstLineChars="50" w:firstLine="120"/>
        <w:contextualSpacing/>
        <w:jc w:val="left"/>
      </w:pPr>
      <w:r>
        <w:rPr>
          <w:rFonts w:hint="eastAsia"/>
        </w:rPr>
        <w:t xml:space="preserve">　</w:t>
      </w:r>
      <w:r>
        <w:t>(</w:t>
      </w:r>
      <w:r>
        <w:rPr>
          <w:rFonts w:hint="eastAsia"/>
        </w:rPr>
        <w:t>五</w:t>
      </w:r>
      <w:r>
        <w:t>)</w:t>
      </w:r>
      <w:r>
        <w:rPr>
          <w:rFonts w:hint="eastAsia"/>
        </w:rPr>
        <w:t>统筹升级信息系统</w:t>
      </w:r>
    </w:p>
    <w:p w:rsidR="009510F2" w:rsidRDefault="00683086">
      <w:pPr>
        <w:spacing w:line="380" w:lineRule="exact"/>
        <w:ind w:firstLine="480"/>
        <w:contextualSpacing/>
        <w:jc w:val="left"/>
      </w:pPr>
      <w:r>
        <w:rPr>
          <w:rFonts w:hint="eastAsia"/>
        </w:rPr>
        <w:t>坚持科技引领，以用户体验为中心，提升完善信息系统功能，优化用户界面，推动数据共享共用，充分发挥税收信息化支撑深化</w:t>
      </w:r>
      <w:r>
        <w:t>“</w:t>
      </w:r>
      <w:r>
        <w:rPr>
          <w:rFonts w:hint="eastAsia"/>
        </w:rPr>
        <w:t>放管服</w:t>
      </w:r>
      <w:r>
        <w:t>”</w:t>
      </w:r>
      <w:r>
        <w:rPr>
          <w:rFonts w:hint="eastAsia"/>
        </w:rPr>
        <w:t>改革的重要作用。</w:t>
      </w:r>
    </w:p>
    <w:p w:rsidR="009510F2" w:rsidRDefault="00683086">
      <w:pPr>
        <w:spacing w:line="380" w:lineRule="exact"/>
        <w:ind w:firstLine="480"/>
        <w:contextualSpacing/>
        <w:jc w:val="left"/>
      </w:pPr>
      <w:r>
        <w:t>25.</w:t>
      </w:r>
      <w:r>
        <w:rPr>
          <w:rFonts w:hint="eastAsia"/>
        </w:rPr>
        <w:t>优化金税三期系统功能。拓展</w:t>
      </w:r>
      <w:proofErr w:type="gramStart"/>
      <w:r>
        <w:rPr>
          <w:rFonts w:hint="eastAsia"/>
        </w:rPr>
        <w:t>核心征管</w:t>
      </w:r>
      <w:proofErr w:type="gramEnd"/>
      <w:r>
        <w:rPr>
          <w:rFonts w:hint="eastAsia"/>
        </w:rPr>
        <w:t>系统功能，增强系统的稳定性和高效性。完善提升决策支持系统，做好税务总局、省税务局两级基础库建设，优化风险分析模型、指标体系以及案例库。扩展税务总局大数据平台应用功能，支持省税务局基于税务总局大数据平台实现相关数据应用，满足个性化需求。</w:t>
      </w:r>
    </w:p>
    <w:p w:rsidR="009510F2" w:rsidRDefault="00683086">
      <w:pPr>
        <w:spacing w:line="380" w:lineRule="exact"/>
        <w:ind w:firstLineChars="150" w:firstLine="360"/>
        <w:contextualSpacing/>
        <w:jc w:val="left"/>
      </w:pPr>
      <w:r>
        <w:t>26.</w:t>
      </w:r>
      <w:r>
        <w:rPr>
          <w:rFonts w:hint="eastAsia"/>
        </w:rPr>
        <w:t>完善增值税发票管理新系统。整合增值税发票管理新系统相关子系统，优化系统架构和功能，强化纳税人</w:t>
      </w:r>
      <w:proofErr w:type="gramStart"/>
      <w:r>
        <w:rPr>
          <w:rFonts w:hint="eastAsia"/>
        </w:rPr>
        <w:t>端技术</w:t>
      </w:r>
      <w:proofErr w:type="gramEnd"/>
      <w:r>
        <w:rPr>
          <w:rFonts w:hint="eastAsia"/>
        </w:rPr>
        <w:t>支撑，完善商品和服务税收分类与编码，加强系统安全管理，提升发票数据应用保障能力。</w:t>
      </w:r>
    </w:p>
    <w:p w:rsidR="009510F2" w:rsidRDefault="00683086">
      <w:pPr>
        <w:spacing w:line="380" w:lineRule="exact"/>
        <w:ind w:firstLine="480"/>
        <w:contextualSpacing/>
        <w:jc w:val="left"/>
      </w:pPr>
      <w:r>
        <w:t>27.</w:t>
      </w:r>
      <w:r>
        <w:rPr>
          <w:rFonts w:hint="eastAsia"/>
        </w:rPr>
        <w:t>加快推进电子税务局建设。制定出台全国电子税务局业务、技术标准规范，改造升级各省网上办税服务厅，建成统一规范的电子税务局，实现纳税人申报、缴税、发票领用和开具、证明开具等绝大部分涉税事项网上办理，让纳税人办税更加快捷高效。</w:t>
      </w:r>
    </w:p>
    <w:p w:rsidR="009510F2" w:rsidRDefault="00683086">
      <w:pPr>
        <w:spacing w:line="380" w:lineRule="exact"/>
        <w:ind w:firstLine="480"/>
        <w:contextualSpacing/>
        <w:jc w:val="left"/>
      </w:pPr>
      <w:r>
        <w:t>28.</w:t>
      </w:r>
      <w:r>
        <w:rPr>
          <w:rFonts w:hint="eastAsia"/>
        </w:rPr>
        <w:t>集成整合信息系统。加快金税三期系统与增值税发票管理新系统、网上办税系统的系统集成步伐，实现三大系统功能整合、数据互通、一体运维。推动跨信息系统流程整合、数据自动传递，一处录入多处使用，便利纳税人办税和基层税务干部操作。加强统一运</w:t>
      </w:r>
      <w:proofErr w:type="gramStart"/>
      <w:r>
        <w:rPr>
          <w:rFonts w:hint="eastAsia"/>
        </w:rPr>
        <w:t>维管理</w:t>
      </w:r>
      <w:proofErr w:type="gramEnd"/>
      <w:r>
        <w:rPr>
          <w:rFonts w:hint="eastAsia"/>
        </w:rPr>
        <w:t>平台应用，全面提升系统运维、网络安全、应急管理的支撑保障能力。</w:t>
      </w:r>
    </w:p>
    <w:p w:rsidR="009510F2" w:rsidRDefault="00683086">
      <w:pPr>
        <w:spacing w:line="380" w:lineRule="exact"/>
        <w:ind w:firstLine="480"/>
        <w:contextualSpacing/>
        <w:jc w:val="left"/>
      </w:pPr>
      <w:r>
        <w:t>29.</w:t>
      </w:r>
      <w:r>
        <w:rPr>
          <w:rFonts w:hint="eastAsia"/>
        </w:rPr>
        <w:t>加快对接国家数据共享交换平台。税务总局和省税务局同步开展税务信息系统自查和信息资源普查，清除</w:t>
      </w:r>
      <w:r>
        <w:t>“</w:t>
      </w:r>
      <w:r>
        <w:rPr>
          <w:rFonts w:hint="eastAsia"/>
        </w:rPr>
        <w:t>僵尸</w:t>
      </w:r>
      <w:r>
        <w:t>”</w:t>
      </w:r>
      <w:r>
        <w:rPr>
          <w:rFonts w:hint="eastAsia"/>
        </w:rPr>
        <w:t>信息系统，提出本单位清理整合的信息系统清单和需要其他部门提供共享的信息资源需求，编制本单位政务信息资源目录，按国家统一规定将整合后的信息系统接入国家数据共享交换平台。</w:t>
      </w:r>
    </w:p>
    <w:p w:rsidR="009510F2" w:rsidRDefault="00683086">
      <w:pPr>
        <w:spacing w:line="380" w:lineRule="exact"/>
        <w:ind w:firstLine="480"/>
        <w:contextualSpacing/>
        <w:jc w:val="left"/>
      </w:pPr>
      <w:r>
        <w:t>30.</w:t>
      </w:r>
      <w:r>
        <w:rPr>
          <w:rFonts w:hint="eastAsia"/>
        </w:rPr>
        <w:t>推动数据融合联通。加强数据质量管理，形成制度化、常态化的问题数据发现、分析、修复机制，从源头修复问题数据。有序开放税务总局集中数据的接口和查询权限，方便各级税务机关准确获取数据查询结果。</w:t>
      </w:r>
      <w:r>
        <w:rPr>
          <w:rFonts w:hint="eastAsia"/>
        </w:rPr>
        <w:lastRenderedPageBreak/>
        <w:t>健全数据共享共用机制，加快推动前后台、系统间、各层级、国税地税、内外部数据的互联互通和共享聚合，为税收服务与管理提供有力数据支撑。</w:t>
      </w:r>
    </w:p>
    <w:p w:rsidR="009510F2" w:rsidRDefault="00683086">
      <w:pPr>
        <w:spacing w:line="380" w:lineRule="exact"/>
        <w:ind w:firstLineChars="0" w:firstLine="0"/>
        <w:contextualSpacing/>
        <w:jc w:val="left"/>
      </w:pPr>
      <w:r>
        <w:rPr>
          <w:rFonts w:hint="eastAsia"/>
        </w:rPr>
        <w:t xml:space="preserve">　三、工作要求</w:t>
      </w:r>
    </w:p>
    <w:p w:rsidR="009510F2" w:rsidRDefault="00683086">
      <w:pPr>
        <w:spacing w:line="380" w:lineRule="exact"/>
        <w:ind w:firstLineChars="100" w:firstLine="240"/>
        <w:contextualSpacing/>
        <w:jc w:val="left"/>
      </w:pPr>
      <w:r>
        <w:t>(</w:t>
      </w:r>
      <w:proofErr w:type="gramStart"/>
      <w:r>
        <w:rPr>
          <w:rFonts w:hint="eastAsia"/>
        </w:rPr>
        <w:t>一</w:t>
      </w:r>
      <w:proofErr w:type="gramEnd"/>
      <w:r>
        <w:t>)</w:t>
      </w:r>
      <w:r>
        <w:rPr>
          <w:rFonts w:hint="eastAsia"/>
        </w:rPr>
        <w:t>加强组织领导。进一步深化税务系统</w:t>
      </w:r>
      <w:r>
        <w:t>“</w:t>
      </w:r>
      <w:r>
        <w:rPr>
          <w:rFonts w:hint="eastAsia"/>
        </w:rPr>
        <w:t>放管服</w:t>
      </w:r>
      <w:r>
        <w:t>”</w:t>
      </w:r>
      <w:r>
        <w:rPr>
          <w:rFonts w:hint="eastAsia"/>
        </w:rPr>
        <w:t>改革、优化税收环境涉及税收工作的方方面面，要切实增强推动改革的使命感和责任感。各级税务机关主要负责同志作为</w:t>
      </w:r>
      <w:r>
        <w:t>“</w:t>
      </w:r>
      <w:r>
        <w:rPr>
          <w:rFonts w:hint="eastAsia"/>
        </w:rPr>
        <w:t>第一责任人</w:t>
      </w:r>
      <w:r>
        <w:t>”</w:t>
      </w:r>
      <w:r>
        <w:rPr>
          <w:rFonts w:hint="eastAsia"/>
        </w:rPr>
        <w:t>，要亲自谋划统筹</w:t>
      </w:r>
      <w:r>
        <w:t>;</w:t>
      </w:r>
      <w:r>
        <w:rPr>
          <w:rFonts w:hint="eastAsia"/>
        </w:rPr>
        <w:t>要明确一名局领导具体负责抓落实</w:t>
      </w:r>
      <w:r>
        <w:t>;</w:t>
      </w:r>
      <w:r>
        <w:rPr>
          <w:rFonts w:hint="eastAsia"/>
        </w:rPr>
        <w:t>各相关部门要主动沟通，通力协作，按照既定的路线图、时间表、任务书，扎实推进各项改革措施落实落地。税务总局各相关司局要站在全局高度制定下发改革措施文件，加强对下工作指导。省税务机关要在法律法规允许和税务总局统一要求下，结合本地实际，抓好改革任务的组织实施，每半年向税务总局</w:t>
      </w:r>
      <w:r>
        <w:t>(</w:t>
      </w:r>
      <w:r>
        <w:rPr>
          <w:rFonts w:hint="eastAsia"/>
        </w:rPr>
        <w:t>征管科技司</w:t>
      </w:r>
      <w:r>
        <w:t>)</w:t>
      </w:r>
      <w:r>
        <w:rPr>
          <w:rFonts w:hint="eastAsia"/>
        </w:rPr>
        <w:t>报送贯彻落实情况。市、县税务机关要做好各项改革措施的承接落地工作，严格按照税务总局统一部署和各项工作规范执行。</w:t>
      </w:r>
    </w:p>
    <w:p w:rsidR="009510F2" w:rsidRDefault="00683086">
      <w:pPr>
        <w:spacing w:line="380" w:lineRule="exact"/>
        <w:ind w:firstLine="480"/>
        <w:contextualSpacing/>
        <w:jc w:val="left"/>
      </w:pPr>
      <w:r>
        <w:t>(</w:t>
      </w:r>
      <w:r>
        <w:rPr>
          <w:rFonts w:hint="eastAsia"/>
        </w:rPr>
        <w:t>二</w:t>
      </w:r>
      <w:r>
        <w:t>)</w:t>
      </w:r>
      <w:r>
        <w:rPr>
          <w:rFonts w:hint="eastAsia"/>
        </w:rPr>
        <w:t>注重试点引领。鼓励各地在税务总局顶层设计的总体框架下，因地制宜探索创新措施，上级要对基层好的经验做法进行集成推广，更好发挥典型示范作用。北京、上海、广州、深圳、江苏省</w:t>
      </w:r>
      <w:r>
        <w:t>(</w:t>
      </w:r>
      <w:r>
        <w:rPr>
          <w:rFonts w:hint="eastAsia"/>
        </w:rPr>
        <w:t>市</w:t>
      </w:r>
      <w:r>
        <w:t>)</w:t>
      </w:r>
      <w:r>
        <w:rPr>
          <w:rFonts w:hint="eastAsia"/>
        </w:rPr>
        <w:t>国税局、地税局要积极开展优化营商环境试点工作，先走一步，提高一步，</w:t>
      </w:r>
      <w:r>
        <w:t>2018</w:t>
      </w:r>
      <w:r>
        <w:rPr>
          <w:rFonts w:hint="eastAsia"/>
        </w:rPr>
        <w:t>年</w:t>
      </w:r>
      <w:r>
        <w:t>6</w:t>
      </w:r>
      <w:r>
        <w:rPr>
          <w:rFonts w:hint="eastAsia"/>
        </w:rPr>
        <w:t>月底前要取得明显成效，税务总局要及时总结推广试点经验。</w:t>
      </w:r>
    </w:p>
    <w:p w:rsidR="009510F2" w:rsidRDefault="00683086">
      <w:pPr>
        <w:spacing w:line="380" w:lineRule="exact"/>
        <w:ind w:firstLine="480"/>
        <w:contextualSpacing/>
        <w:jc w:val="left"/>
      </w:pPr>
      <w:r>
        <w:t>(</w:t>
      </w:r>
      <w:r>
        <w:rPr>
          <w:rFonts w:hint="eastAsia"/>
        </w:rPr>
        <w:t>三</w:t>
      </w:r>
      <w:r>
        <w:t>)</w:t>
      </w:r>
      <w:r>
        <w:rPr>
          <w:rFonts w:hint="eastAsia"/>
        </w:rPr>
        <w:t>分步有序推进。根据改革措施的紧迫性、重要性和复杂性，分批次、分阶段推进各项工作。</w:t>
      </w:r>
      <w:r>
        <w:t>2017</w:t>
      </w:r>
      <w:r>
        <w:rPr>
          <w:rFonts w:hint="eastAsia"/>
        </w:rPr>
        <w:t>年</w:t>
      </w:r>
      <w:r>
        <w:t>10</w:t>
      </w:r>
      <w:r>
        <w:rPr>
          <w:rFonts w:hint="eastAsia"/>
        </w:rPr>
        <w:t>月底前，推出一批接地气、消</w:t>
      </w:r>
      <w:r>
        <w:t>“</w:t>
      </w:r>
      <w:r>
        <w:rPr>
          <w:rFonts w:hint="eastAsia"/>
        </w:rPr>
        <w:t>痛</w:t>
      </w:r>
      <w:r>
        <w:t>”</w:t>
      </w:r>
      <w:r>
        <w:rPr>
          <w:rFonts w:hint="eastAsia"/>
        </w:rPr>
        <w:t>疏</w:t>
      </w:r>
      <w:r>
        <w:t>“</w:t>
      </w:r>
      <w:r>
        <w:rPr>
          <w:rFonts w:hint="eastAsia"/>
        </w:rPr>
        <w:t>堵</w:t>
      </w:r>
      <w:r>
        <w:t>”</w:t>
      </w:r>
      <w:r>
        <w:rPr>
          <w:rFonts w:hint="eastAsia"/>
        </w:rPr>
        <w:t>、针对性和操作性强的具体改革措施，最大限度便利纳税人。</w:t>
      </w:r>
      <w:r>
        <w:t>2018</w:t>
      </w:r>
      <w:r>
        <w:rPr>
          <w:rFonts w:hint="eastAsia"/>
        </w:rPr>
        <w:t>年</w:t>
      </w:r>
      <w:r>
        <w:t>2</w:t>
      </w:r>
      <w:r>
        <w:rPr>
          <w:rFonts w:hint="eastAsia"/>
        </w:rPr>
        <w:t>月底前，再推出一批深化改革措施，显著减轻纳税人办税负担。</w:t>
      </w:r>
      <w:r>
        <w:t>2018</w:t>
      </w:r>
      <w:r>
        <w:rPr>
          <w:rFonts w:hint="eastAsia"/>
        </w:rPr>
        <w:t>年</w:t>
      </w:r>
      <w:r>
        <w:t>10</w:t>
      </w:r>
      <w:r>
        <w:rPr>
          <w:rFonts w:hint="eastAsia"/>
        </w:rPr>
        <w:t>月底前，持续完善各项改革举措，推动税务系统</w:t>
      </w:r>
      <w:r>
        <w:t>“</w:t>
      </w:r>
      <w:r>
        <w:rPr>
          <w:rFonts w:hint="eastAsia"/>
        </w:rPr>
        <w:t>放管服</w:t>
      </w:r>
      <w:r>
        <w:t>”</w:t>
      </w:r>
      <w:r>
        <w:rPr>
          <w:rFonts w:hint="eastAsia"/>
        </w:rPr>
        <w:t>改革提质升级。</w:t>
      </w:r>
      <w:r>
        <w:t>2018</w:t>
      </w:r>
      <w:r>
        <w:rPr>
          <w:rFonts w:hint="eastAsia"/>
        </w:rPr>
        <w:t>年</w:t>
      </w:r>
      <w:r>
        <w:t>10</w:t>
      </w:r>
      <w:r>
        <w:rPr>
          <w:rFonts w:hint="eastAsia"/>
        </w:rPr>
        <w:t>月后，与其他各项改革集成融合，推动实现税收现代化。在推进过程中，要根据党中央、国务院的新要求，结合基层实践创造的新经验，不断充实完善改革措施，一并深入抓好落实。</w:t>
      </w:r>
    </w:p>
    <w:p w:rsidR="009510F2" w:rsidRDefault="00683086">
      <w:pPr>
        <w:spacing w:line="380" w:lineRule="exact"/>
        <w:ind w:firstLine="480"/>
        <w:contextualSpacing/>
        <w:jc w:val="left"/>
      </w:pPr>
      <w:r>
        <w:t>(</w:t>
      </w:r>
      <w:r>
        <w:rPr>
          <w:rFonts w:hint="eastAsia"/>
        </w:rPr>
        <w:t>四</w:t>
      </w:r>
      <w:r>
        <w:t>)</w:t>
      </w:r>
      <w:r>
        <w:rPr>
          <w:rFonts w:hint="eastAsia"/>
        </w:rPr>
        <w:t>严格监督考核。要完善内控制度体系，利用信息技术手段实现内控内生化，防范税务干部执法风险、行政风险、廉政风险。要加强舆论宣传引导，提高进一步深化税务系统</w:t>
      </w:r>
      <w:r>
        <w:t>“</w:t>
      </w:r>
      <w:r>
        <w:rPr>
          <w:rFonts w:hint="eastAsia"/>
        </w:rPr>
        <w:t>放管服</w:t>
      </w:r>
      <w:r>
        <w:t>”</w:t>
      </w:r>
      <w:r>
        <w:rPr>
          <w:rFonts w:hint="eastAsia"/>
        </w:rPr>
        <w:t>改革、优化税收环境的社会认同度。要充分发挥社会监督和舆论监督的作用，做好舆情</w:t>
      </w:r>
      <w:proofErr w:type="gramStart"/>
      <w:r>
        <w:rPr>
          <w:rFonts w:hint="eastAsia"/>
        </w:rPr>
        <w:t>研</w:t>
      </w:r>
      <w:proofErr w:type="gramEnd"/>
      <w:r>
        <w:rPr>
          <w:rFonts w:hint="eastAsia"/>
        </w:rPr>
        <w:t>判，畅通纳税人投诉举报渠道，及时解决纳税人反映的各种问题，积极回应社会关切。要定期开展督查，对推进改革落实不力的要进行问责。要把进一步深化税</w:t>
      </w:r>
      <w:r>
        <w:rPr>
          <w:rFonts w:hint="eastAsia"/>
        </w:rPr>
        <w:lastRenderedPageBreak/>
        <w:t>务系统</w:t>
      </w:r>
      <w:r>
        <w:t>“</w:t>
      </w:r>
      <w:r>
        <w:rPr>
          <w:rFonts w:hint="eastAsia"/>
        </w:rPr>
        <w:t>放管服</w:t>
      </w:r>
      <w:r>
        <w:t>”</w:t>
      </w:r>
      <w:r>
        <w:rPr>
          <w:rFonts w:hint="eastAsia"/>
        </w:rPr>
        <w:t>改革、优化税收环境列为绩效管理的重要内容，加大考评力度。</w:t>
      </w:r>
    </w:p>
    <w:p w:rsidR="009510F2" w:rsidRDefault="009510F2">
      <w:pPr>
        <w:spacing w:line="380" w:lineRule="exact"/>
        <w:ind w:right="560" w:firstLineChars="0" w:firstLine="0"/>
        <w:contextualSpacing/>
        <w:rPr>
          <w:rFonts w:eastAsia="黑体"/>
          <w:b/>
          <w:sz w:val="28"/>
        </w:rPr>
      </w:pPr>
    </w:p>
    <w:p w:rsidR="009510F2" w:rsidRDefault="009510F2">
      <w:pPr>
        <w:widowControl w:val="0"/>
        <w:spacing w:line="380" w:lineRule="exact"/>
        <w:ind w:firstLineChars="0" w:firstLine="0"/>
        <w:contextualSpacing/>
        <w:rPr>
          <w:rFonts w:ascii="华文行楷" w:eastAsia="华文行楷" w:hAnsi="宋体" w:cs="宋体"/>
          <w:b/>
          <w:kern w:val="0"/>
          <w:sz w:val="32"/>
          <w:szCs w:val="32"/>
          <w:bdr w:val="single" w:sz="4" w:space="0" w:color="auto"/>
        </w:rPr>
      </w:pPr>
    </w:p>
    <w:p w:rsidR="009510F2" w:rsidRDefault="00683086">
      <w:pPr>
        <w:widowControl w:val="0"/>
        <w:spacing w:line="380" w:lineRule="exact"/>
        <w:ind w:firstLineChars="0" w:firstLine="0"/>
        <w:contextualSpacing/>
        <w:rPr>
          <w:rFonts w:ascii="华文行楷" w:eastAsia="华文行楷" w:hAnsi="宋体" w:cs="宋体"/>
          <w:b/>
          <w:kern w:val="0"/>
          <w:sz w:val="32"/>
          <w:szCs w:val="32"/>
          <w:bdr w:val="single" w:sz="4" w:space="0" w:color="auto"/>
        </w:rPr>
      </w:pPr>
      <w:r>
        <w:rPr>
          <w:rFonts w:ascii="华文行楷" w:eastAsia="华文行楷" w:hAnsi="宋体" w:cs="宋体"/>
          <w:b/>
          <w:kern w:val="0"/>
          <w:sz w:val="32"/>
          <w:szCs w:val="32"/>
          <w:bdr w:val="single" w:sz="4" w:space="0" w:color="auto"/>
        </w:rPr>
        <w:t>政策解读</w:t>
      </w:r>
    </w:p>
    <w:p w:rsidR="009510F2" w:rsidRDefault="00683086">
      <w:pPr>
        <w:pStyle w:val="3"/>
      </w:pPr>
      <w:bookmarkStart w:id="16" w:name="_Toc16287"/>
      <w:r>
        <w:rPr>
          <w:rFonts w:hint="eastAsia"/>
          <w:bCs/>
        </w:rPr>
        <w:t>“全国通办”让办税无界限</w:t>
      </w:r>
      <w:r>
        <w:rPr>
          <w:rFonts w:hint="eastAsia"/>
          <w:bCs/>
        </w:rPr>
        <w:br/>
      </w:r>
      <w:r>
        <w:rPr>
          <w:rFonts w:hint="eastAsia"/>
          <w:bCs/>
        </w:rPr>
        <w:t>税务总局发布《关于跨省经营企业涉税事项全国通办的通知》</w:t>
      </w:r>
      <w:bookmarkEnd w:id="16"/>
    </w:p>
    <w:p w:rsidR="009510F2" w:rsidRDefault="00683086">
      <w:pPr>
        <w:pStyle w:val="4"/>
        <w:rPr>
          <w:rFonts w:ascii="Times New Roman" w:hAnsi="Times New Roman" w:cstheme="minorBidi"/>
        </w:rPr>
      </w:pPr>
      <w:bookmarkStart w:id="17" w:name="_Toc4356"/>
      <w:r>
        <w:t>来源：</w:t>
      </w:r>
      <w:r>
        <w:rPr>
          <w:rFonts w:hint="eastAsia"/>
        </w:rPr>
        <w:t xml:space="preserve">国家税务总局办公厅   </w:t>
      </w:r>
      <w:r>
        <w:t>2017</w:t>
      </w:r>
      <w:r>
        <w:rPr>
          <w:rFonts w:hint="eastAsia"/>
        </w:rPr>
        <w:t>-</w:t>
      </w:r>
      <w:r>
        <w:t>9</w:t>
      </w:r>
      <w:r>
        <w:rPr>
          <w:rFonts w:hint="eastAsia"/>
        </w:rPr>
        <w:t>-21</w:t>
      </w:r>
      <w:bookmarkEnd w:id="17"/>
    </w:p>
    <w:p w:rsidR="009510F2" w:rsidRDefault="00683086">
      <w:pPr>
        <w:pStyle w:val="a6"/>
        <w:spacing w:line="380" w:lineRule="exact"/>
        <w:ind w:firstLineChars="0"/>
      </w:pPr>
      <w:r>
        <w:rPr>
          <w:rFonts w:hint="eastAsia"/>
        </w:rPr>
        <w:t>为进一步深化税务系统“放管服”改革，优化税收环境，近日，国家税务总局制发《关于跨省经营企业涉税事项全国通办的通知》（以下简称《通知》），提出在</w:t>
      </w:r>
      <w:r>
        <w:rPr>
          <w:rFonts w:hint="eastAsia"/>
        </w:rPr>
        <w:t>2017</w:t>
      </w:r>
      <w:r>
        <w:rPr>
          <w:rFonts w:hint="eastAsia"/>
        </w:rPr>
        <w:t>年底基本实现跨省经营企业部分涉税事项全国通办，为跨省经营企业提供更加便捷的办税服务。</w:t>
      </w:r>
    </w:p>
    <w:p w:rsidR="009510F2" w:rsidRDefault="00683086">
      <w:pPr>
        <w:pStyle w:val="a6"/>
        <w:spacing w:line="380" w:lineRule="exact"/>
        <w:ind w:firstLineChars="588" w:firstLine="1417"/>
      </w:pPr>
      <w:r>
        <w:rPr>
          <w:rFonts w:hint="eastAsia"/>
          <w:b/>
          <w:bCs/>
        </w:rPr>
        <w:t>跨省经营企业可就近办理异地涉税事项</w:t>
      </w:r>
    </w:p>
    <w:p w:rsidR="009510F2" w:rsidRDefault="00683086">
      <w:pPr>
        <w:pStyle w:val="a6"/>
        <w:spacing w:line="380" w:lineRule="exact"/>
      </w:pPr>
      <w:r>
        <w:rPr>
          <w:rFonts w:hint="eastAsia"/>
        </w:rPr>
        <w:t>近年来，越来越多的大型企业集团为统一财务管理、节约管理费用，多采用财务总部集中管理模式，由总部财务人员统一办理涉税事项。某大型连锁超市财务总监周慧生说：“我们公司总部在上海，在全国有近百家连锁店，希望在上海就可以办理全国其他地方分店的涉税事项。”</w:t>
      </w:r>
      <w:r>
        <w:rPr>
          <w:rFonts w:hint="eastAsia"/>
        </w:rPr>
        <w:br/>
      </w:r>
      <w:r>
        <w:rPr>
          <w:rFonts w:hint="eastAsia"/>
        </w:rPr>
        <w:t xml:space="preserve">　　为满足纳税人对涉税事项</w:t>
      </w:r>
      <w:proofErr w:type="gramStart"/>
      <w:r>
        <w:rPr>
          <w:rFonts w:hint="eastAsia"/>
        </w:rPr>
        <w:t>全国通办的</w:t>
      </w:r>
      <w:proofErr w:type="gramEnd"/>
      <w:r>
        <w:rPr>
          <w:rFonts w:hint="eastAsia"/>
        </w:rPr>
        <w:t>需求，《通知》规定，跨省（自治区、直辖市、计划单列市）经营企业，可以根据办税需要就近选择税务机关申请办理异地涉税事项。</w:t>
      </w:r>
      <w:r>
        <w:rPr>
          <w:rFonts w:hint="eastAsia"/>
        </w:rPr>
        <w:br/>
      </w:r>
      <w:r>
        <w:rPr>
          <w:rFonts w:hint="eastAsia"/>
        </w:rPr>
        <w:t xml:space="preserve">　　“跨省经营企业的范围涵盖跨省设立分支机构开展经营、外出经营、跨省异地拥有资产等类型企业。”税务总局纳税服务司副司长孙玉山介绍，这部分企业可根据办税需要就近选择税务机关申请办理异地涉税事项，此举将有效降低企业的办税成本，激发市场主体活力。</w:t>
      </w:r>
    </w:p>
    <w:p w:rsidR="009510F2" w:rsidRDefault="00683086">
      <w:pPr>
        <w:pStyle w:val="a6"/>
        <w:spacing w:line="380" w:lineRule="exact"/>
        <w:ind w:firstLineChars="650" w:firstLine="1566"/>
      </w:pPr>
      <w:r>
        <w:rPr>
          <w:rFonts w:hint="eastAsia"/>
          <w:b/>
          <w:bCs/>
        </w:rPr>
        <w:t>4</w:t>
      </w:r>
      <w:r>
        <w:rPr>
          <w:rFonts w:hint="eastAsia"/>
          <w:b/>
          <w:bCs/>
        </w:rPr>
        <w:t>类</w:t>
      </w:r>
      <w:r>
        <w:rPr>
          <w:rFonts w:hint="eastAsia"/>
          <w:b/>
          <w:bCs/>
        </w:rPr>
        <w:t>15</w:t>
      </w:r>
      <w:r>
        <w:rPr>
          <w:rFonts w:hint="eastAsia"/>
          <w:b/>
          <w:bCs/>
        </w:rPr>
        <w:t>项涉税事项列入全国</w:t>
      </w:r>
      <w:proofErr w:type="gramStart"/>
      <w:r>
        <w:rPr>
          <w:rFonts w:hint="eastAsia"/>
          <w:b/>
          <w:bCs/>
        </w:rPr>
        <w:t>通办范围</w:t>
      </w:r>
      <w:proofErr w:type="gramEnd"/>
    </w:p>
    <w:p w:rsidR="009510F2" w:rsidRDefault="00683086">
      <w:pPr>
        <w:pStyle w:val="a6"/>
        <w:spacing w:line="380" w:lineRule="exact"/>
      </w:pPr>
      <w:r>
        <w:rPr>
          <w:rFonts w:hint="eastAsia"/>
        </w:rPr>
        <w:t>有哪些事项可以</w:t>
      </w:r>
      <w:proofErr w:type="gramStart"/>
      <w:r>
        <w:rPr>
          <w:rFonts w:hint="eastAsia"/>
        </w:rPr>
        <w:t>全国通办呢</w:t>
      </w:r>
      <w:proofErr w:type="gramEnd"/>
      <w:r>
        <w:rPr>
          <w:rFonts w:hint="eastAsia"/>
        </w:rPr>
        <w:t>？《通知》明确，在坚持税收预算级次和收入归属不变、纳税人主管税务机关不改变的前提下，</w:t>
      </w:r>
      <w:r>
        <w:rPr>
          <w:rFonts w:hint="eastAsia"/>
        </w:rPr>
        <w:t>4</w:t>
      </w:r>
      <w:r>
        <w:rPr>
          <w:rFonts w:hint="eastAsia"/>
        </w:rPr>
        <w:t>类</w:t>
      </w:r>
      <w:r>
        <w:rPr>
          <w:rFonts w:hint="eastAsia"/>
        </w:rPr>
        <w:t>15</w:t>
      </w:r>
      <w:r>
        <w:rPr>
          <w:rFonts w:hint="eastAsia"/>
        </w:rPr>
        <w:t>项涉税事项在</w:t>
      </w:r>
      <w:r>
        <w:rPr>
          <w:rFonts w:hint="eastAsia"/>
        </w:rPr>
        <w:t>2017</w:t>
      </w:r>
      <w:r>
        <w:rPr>
          <w:rFonts w:hint="eastAsia"/>
        </w:rPr>
        <w:t>年底基本实现全国通办。</w:t>
      </w:r>
      <w:r>
        <w:rPr>
          <w:rFonts w:hint="eastAsia"/>
        </w:rPr>
        <w:br/>
      </w:r>
      <w:r>
        <w:rPr>
          <w:rFonts w:hint="eastAsia"/>
        </w:rPr>
        <w:t xml:space="preserve">　　</w:t>
      </w:r>
      <w:r>
        <w:rPr>
          <w:rFonts w:hint="eastAsia"/>
          <w:b/>
          <w:bCs/>
        </w:rPr>
        <w:t>——涉税信息报告类。</w:t>
      </w:r>
      <w:r>
        <w:rPr>
          <w:rFonts w:hint="eastAsia"/>
        </w:rPr>
        <w:t>具体包括存款账户账号报告、财务会计制度及核算软件备案报告。</w:t>
      </w:r>
      <w:r>
        <w:rPr>
          <w:rFonts w:hint="eastAsia"/>
        </w:rPr>
        <w:br/>
      </w:r>
      <w:r>
        <w:rPr>
          <w:rFonts w:hint="eastAsia"/>
        </w:rPr>
        <w:lastRenderedPageBreak/>
        <w:t xml:space="preserve">　　</w:t>
      </w:r>
      <w:r>
        <w:rPr>
          <w:rFonts w:hint="eastAsia"/>
          <w:b/>
          <w:bCs/>
        </w:rPr>
        <w:t>——申报纳税办理类。</w:t>
      </w:r>
      <w:r>
        <w:rPr>
          <w:rFonts w:hint="eastAsia"/>
        </w:rPr>
        <w:t>具体包括欠税人处置不动产或大额资产报告、纳税人合并分立情况报告、发包出租情况报告、企业年金职业年金扣缴报告。</w:t>
      </w:r>
      <w:r>
        <w:rPr>
          <w:rFonts w:hint="eastAsia"/>
        </w:rPr>
        <w:br/>
      </w:r>
      <w:r>
        <w:rPr>
          <w:rFonts w:hint="eastAsia"/>
        </w:rPr>
        <w:t xml:space="preserve">　　</w:t>
      </w:r>
      <w:r>
        <w:rPr>
          <w:rFonts w:hint="eastAsia"/>
          <w:b/>
          <w:bCs/>
        </w:rPr>
        <w:t>——优惠备案办理类。</w:t>
      </w:r>
      <w:r>
        <w:rPr>
          <w:rFonts w:hint="eastAsia"/>
        </w:rPr>
        <w:t>具体包括增值税、消费税、企业所得税（根据税法规定由总机构统一备案的企业所得税优惠备案事项除外）、印花税、车船税、城市维护建设税和教育费附加优惠备案。</w:t>
      </w:r>
      <w:r>
        <w:rPr>
          <w:rFonts w:hint="eastAsia"/>
        </w:rPr>
        <w:br/>
      </w:r>
      <w:r>
        <w:rPr>
          <w:rFonts w:hint="eastAsia"/>
        </w:rPr>
        <w:t xml:space="preserve">　　</w:t>
      </w:r>
      <w:r>
        <w:rPr>
          <w:rFonts w:hint="eastAsia"/>
          <w:b/>
          <w:bCs/>
        </w:rPr>
        <w:t>——证明办理类。</w:t>
      </w:r>
      <w:r>
        <w:rPr>
          <w:rFonts w:hint="eastAsia"/>
        </w:rPr>
        <w:t>具体包括开具个人所得税等完税证明。</w:t>
      </w:r>
      <w:r>
        <w:rPr>
          <w:rFonts w:hint="eastAsia"/>
        </w:rPr>
        <w:br/>
      </w:r>
      <w:r>
        <w:rPr>
          <w:rFonts w:hint="eastAsia"/>
        </w:rPr>
        <w:t xml:space="preserve">　　据税务总局相关负责人介绍，为全面、准确摸清纳税人对</w:t>
      </w:r>
      <w:proofErr w:type="gramStart"/>
      <w:r>
        <w:rPr>
          <w:rFonts w:hint="eastAsia"/>
        </w:rPr>
        <w:t>全国通办的</w:t>
      </w:r>
      <w:proofErr w:type="gramEnd"/>
      <w:r>
        <w:rPr>
          <w:rFonts w:hint="eastAsia"/>
        </w:rPr>
        <w:t>需求，税务总局在北京、江苏、广东等省市开展调研，听取了</w:t>
      </w:r>
      <w:r>
        <w:rPr>
          <w:rFonts w:hint="eastAsia"/>
        </w:rPr>
        <w:t>10</w:t>
      </w:r>
      <w:r>
        <w:rPr>
          <w:rFonts w:hint="eastAsia"/>
        </w:rPr>
        <w:t>多个行业</w:t>
      </w:r>
      <w:r>
        <w:rPr>
          <w:rFonts w:hint="eastAsia"/>
        </w:rPr>
        <w:t>146</w:t>
      </w:r>
      <w:r>
        <w:rPr>
          <w:rFonts w:hint="eastAsia"/>
        </w:rPr>
        <w:t>家大型企业的意见建议，最终确定了</w:t>
      </w:r>
      <w:proofErr w:type="gramStart"/>
      <w:r>
        <w:rPr>
          <w:rFonts w:hint="eastAsia"/>
        </w:rPr>
        <w:t>全国通办涉税</w:t>
      </w:r>
      <w:proofErr w:type="gramEnd"/>
      <w:r>
        <w:rPr>
          <w:rFonts w:hint="eastAsia"/>
        </w:rPr>
        <w:t>事项的范围。</w:t>
      </w:r>
    </w:p>
    <w:p w:rsidR="009510F2" w:rsidRDefault="00683086">
      <w:pPr>
        <w:pStyle w:val="a6"/>
        <w:spacing w:line="380" w:lineRule="exact"/>
        <w:ind w:firstLineChars="797" w:firstLine="1920"/>
      </w:pPr>
      <w:r>
        <w:rPr>
          <w:rFonts w:hint="eastAsia"/>
          <w:b/>
          <w:bCs/>
        </w:rPr>
        <w:t>资料内部流转为纳税人减负担</w:t>
      </w:r>
    </w:p>
    <w:p w:rsidR="009510F2" w:rsidRDefault="00683086">
      <w:pPr>
        <w:pStyle w:val="a6"/>
        <w:spacing w:line="380" w:lineRule="exact"/>
      </w:pPr>
      <w:r>
        <w:rPr>
          <w:rFonts w:hint="eastAsia"/>
        </w:rPr>
        <w:t>涉税事项</w:t>
      </w:r>
      <w:proofErr w:type="gramStart"/>
      <w:r>
        <w:rPr>
          <w:rFonts w:hint="eastAsia"/>
        </w:rPr>
        <w:t>全国通办对</w:t>
      </w:r>
      <w:proofErr w:type="gramEnd"/>
      <w:r>
        <w:rPr>
          <w:rFonts w:hint="eastAsia"/>
        </w:rPr>
        <w:t>税务部门征管工作提出了更高的要求，税务部门将采取“异地受理，内部流转，属地办理，办结反馈”的方式确保全国</w:t>
      </w:r>
      <w:proofErr w:type="gramStart"/>
      <w:r>
        <w:rPr>
          <w:rFonts w:hint="eastAsia"/>
        </w:rPr>
        <w:t>通办顺利</w:t>
      </w:r>
      <w:proofErr w:type="gramEnd"/>
      <w:r>
        <w:rPr>
          <w:rFonts w:hint="eastAsia"/>
        </w:rPr>
        <w:t>实施。</w:t>
      </w:r>
      <w:r>
        <w:rPr>
          <w:rFonts w:hint="eastAsia"/>
        </w:rPr>
        <w:br/>
      </w:r>
      <w:r>
        <w:rPr>
          <w:rFonts w:hint="eastAsia"/>
        </w:rPr>
        <w:t xml:space="preserve">　　简单来讲，就是纳税人按规定携带资料及委托授权书向受理税务机关提出申请，由受理税务机关接收资料后，传递到属地税务机关办理。纳税人如果需要领取办理结果，可以选择申请邮寄或到主管税务机关领取。</w:t>
      </w:r>
      <w:r>
        <w:rPr>
          <w:rFonts w:hint="eastAsia"/>
        </w:rPr>
        <w:br/>
      </w:r>
      <w:r>
        <w:rPr>
          <w:rFonts w:hint="eastAsia"/>
        </w:rPr>
        <w:t xml:space="preserve">　　“涉税事项全国通办是税务部门深入开展‘便民办税春风行动’、减轻纳税人负担的具体体现，更是推动大众创业万众创新、优化税收环境的重要举措。”税务总局纳税服务司副司长孙玉山说。</w:t>
      </w:r>
      <w:r>
        <w:rPr>
          <w:rFonts w:hint="eastAsia"/>
        </w:rPr>
        <w:t xml:space="preserve"> </w:t>
      </w:r>
      <w:r>
        <w:rPr>
          <w:rFonts w:hint="eastAsia"/>
        </w:rPr>
        <w:br/>
      </w:r>
      <w:r>
        <w:rPr>
          <w:rFonts w:hint="eastAsia"/>
        </w:rPr>
        <w:t xml:space="preserve">　　据了解，为深入贯彻落实党中央、国务院关于优化营商环境和推进“放管服”改革的部署要求，税务总局近期发布了《关于进一步深化税务系统“放管服”改革</w:t>
      </w:r>
      <w:r>
        <w:rPr>
          <w:rFonts w:hint="eastAsia"/>
        </w:rPr>
        <w:t xml:space="preserve"> </w:t>
      </w:r>
      <w:r>
        <w:rPr>
          <w:rFonts w:hint="eastAsia"/>
        </w:rPr>
        <w:t>优化税收环境的若干意见》。《通知》作为《意见》的首批配套文件，将有力助推《意见》落地生效。下一步，税务部门将继续按计划分批推出一系列具体改革措施和相关配套文件，持续优化税收环境，更加有力有效地服务和促进我国经济社会发展。</w:t>
      </w:r>
    </w:p>
    <w:p w:rsidR="009510F2" w:rsidRDefault="009510F2">
      <w:pPr>
        <w:pStyle w:val="a6"/>
        <w:spacing w:line="380" w:lineRule="exact"/>
        <w:ind w:firstLineChars="650" w:firstLine="1560"/>
        <w:rPr>
          <w:rFonts w:ascii="Times New Roman" w:hAnsi="Times New Roman" w:cstheme="minorBidi"/>
          <w:kern w:val="2"/>
          <w:szCs w:val="22"/>
        </w:rPr>
      </w:pPr>
    </w:p>
    <w:sectPr w:rsidR="009510F2">
      <w:pgSz w:w="11164" w:h="15485"/>
      <w:pgMar w:top="1440" w:right="1800" w:bottom="1440" w:left="1800" w:header="851" w:footer="992"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193" w:rsidRDefault="00785193" w:rsidP="00EF2049">
      <w:pPr>
        <w:spacing w:line="240" w:lineRule="auto"/>
        <w:ind w:firstLine="480"/>
      </w:pPr>
      <w:r>
        <w:separator/>
      </w:r>
    </w:p>
  </w:endnote>
  <w:endnote w:type="continuationSeparator" w:id="0">
    <w:p w:rsidR="00785193" w:rsidRDefault="00785193" w:rsidP="00EF204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行楷">
    <w:altName w:val="微软雅黑"/>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F2" w:rsidRDefault="009510F2">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F2" w:rsidRDefault="00683086">
    <w:pPr>
      <w:pStyle w:val="a4"/>
      <w:ind w:firstLine="360"/>
      <w:jc w:val="center"/>
    </w:pPr>
    <w:r>
      <w:fldChar w:fldCharType="begin"/>
    </w:r>
    <w:r>
      <w:instrText xml:space="preserve"> PAGE   \* MERGEFORMAT </w:instrText>
    </w:r>
    <w:r>
      <w:fldChar w:fldCharType="separate"/>
    </w:r>
    <w:r w:rsidR="00C15D85" w:rsidRPr="00C15D85">
      <w:rPr>
        <w:noProof/>
        <w:lang w:val="zh-CN"/>
      </w:rPr>
      <w:t>2</w:t>
    </w:r>
    <w:r>
      <w:rPr>
        <w:lang w:val="zh-CN"/>
      </w:rPr>
      <w:fldChar w:fldCharType="end"/>
    </w:r>
  </w:p>
  <w:p w:rsidR="009510F2" w:rsidRDefault="009510F2">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F2" w:rsidRDefault="009510F2">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193" w:rsidRDefault="00785193" w:rsidP="00EF2049">
      <w:pPr>
        <w:spacing w:line="240" w:lineRule="auto"/>
        <w:ind w:firstLine="480"/>
      </w:pPr>
      <w:r>
        <w:separator/>
      </w:r>
    </w:p>
  </w:footnote>
  <w:footnote w:type="continuationSeparator" w:id="0">
    <w:p w:rsidR="00785193" w:rsidRDefault="00785193" w:rsidP="00EF2049">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F2" w:rsidRDefault="009510F2">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F2" w:rsidRDefault="009510F2">
    <w:pPr>
      <w:pStyle w:val="a5"/>
      <w:ind w:firstLine="643"/>
      <w:jc w:val="left"/>
      <w:rPr>
        <w:b/>
        <w:sz w:val="32"/>
        <w:szCs w:val="32"/>
      </w:rPr>
    </w:pPr>
  </w:p>
  <w:p w:rsidR="009510F2" w:rsidRDefault="009510F2">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F2" w:rsidRDefault="009510F2">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6215F"/>
    <w:multiLevelType w:val="multilevel"/>
    <w:tmpl w:val="2BB6215F"/>
    <w:lvl w:ilvl="0">
      <w:start w:val="1"/>
      <w:numFmt w:val="chineseCountingThousand"/>
      <w:pStyle w:val="3"/>
      <w:lvlText w:val="%1、"/>
      <w:lvlJc w:val="left"/>
      <w:pPr>
        <w:ind w:left="1413" w:hanging="420"/>
      </w:pPr>
    </w:lvl>
    <w:lvl w:ilvl="1">
      <w:start w:val="1"/>
      <w:numFmt w:val="lowerLetter"/>
      <w:lvlText w:val="%2)"/>
      <w:lvlJc w:val="left"/>
      <w:pPr>
        <w:ind w:left="1149" w:hanging="420"/>
      </w:pPr>
    </w:lvl>
    <w:lvl w:ilvl="2">
      <w:start w:val="1"/>
      <w:numFmt w:val="lowerRoman"/>
      <w:lvlText w:val="%3."/>
      <w:lvlJc w:val="right"/>
      <w:pPr>
        <w:ind w:left="1569" w:hanging="420"/>
      </w:pPr>
    </w:lvl>
    <w:lvl w:ilvl="3">
      <w:start w:val="1"/>
      <w:numFmt w:val="decimal"/>
      <w:lvlText w:val="%4."/>
      <w:lvlJc w:val="left"/>
      <w:pPr>
        <w:ind w:left="1989" w:hanging="420"/>
      </w:pPr>
    </w:lvl>
    <w:lvl w:ilvl="4">
      <w:start w:val="1"/>
      <w:numFmt w:val="lowerLetter"/>
      <w:lvlText w:val="%5)"/>
      <w:lvlJc w:val="left"/>
      <w:pPr>
        <w:ind w:left="2409" w:hanging="420"/>
      </w:pPr>
    </w:lvl>
    <w:lvl w:ilvl="5">
      <w:start w:val="1"/>
      <w:numFmt w:val="lowerRoman"/>
      <w:lvlText w:val="%6."/>
      <w:lvlJc w:val="right"/>
      <w:pPr>
        <w:ind w:left="2829" w:hanging="420"/>
      </w:pPr>
    </w:lvl>
    <w:lvl w:ilvl="6">
      <w:start w:val="1"/>
      <w:numFmt w:val="decimal"/>
      <w:lvlText w:val="%7."/>
      <w:lvlJc w:val="left"/>
      <w:pPr>
        <w:ind w:left="3249" w:hanging="420"/>
      </w:pPr>
    </w:lvl>
    <w:lvl w:ilvl="7">
      <w:start w:val="1"/>
      <w:numFmt w:val="lowerLetter"/>
      <w:lvlText w:val="%8)"/>
      <w:lvlJc w:val="left"/>
      <w:pPr>
        <w:ind w:left="3669" w:hanging="420"/>
      </w:pPr>
    </w:lvl>
    <w:lvl w:ilvl="8">
      <w:start w:val="1"/>
      <w:numFmt w:val="lowerRoman"/>
      <w:lvlText w:val="%9."/>
      <w:lvlJc w:val="right"/>
      <w:pPr>
        <w:ind w:left="4089" w:hanging="420"/>
      </w:pPr>
    </w:lvl>
  </w:abstractNum>
  <w:abstractNum w:abstractNumId="1">
    <w:nsid w:val="2D972D8E"/>
    <w:multiLevelType w:val="hybridMultilevel"/>
    <w:tmpl w:val="D77EA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626707F"/>
    <w:multiLevelType w:val="hybridMultilevel"/>
    <w:tmpl w:val="F1BEC6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846AA04"/>
    <w:multiLevelType w:val="multilevel"/>
    <w:tmpl w:val="5846AA04"/>
    <w:lvl w:ilvl="0">
      <w:start w:val="1"/>
      <w:numFmt w:val="chineseCountingThousand"/>
      <w:pStyle w:val="1"/>
      <w:lvlText w:val="%1、"/>
      <w:lvlJc w:val="left"/>
      <w:pPr>
        <w:ind w:left="420" w:hanging="420"/>
      </w:pPr>
      <w:rPr>
        <w:rFonts w:hint="eastAsia"/>
      </w:rPr>
    </w:lvl>
    <w:lvl w:ilvl="1">
      <w:start w:val="1"/>
      <w:numFmt w:val="chineseCounting"/>
      <w:pStyle w:val="2"/>
      <w:suff w:val="nothing"/>
      <w:lvlText w:val="（%2）"/>
      <w:lvlJc w:val="left"/>
      <w:pPr>
        <w:tabs>
          <w:tab w:val="left" w:pos="142"/>
        </w:tabs>
        <w:ind w:left="142" w:firstLine="0"/>
      </w:pPr>
      <w:rPr>
        <w:rFonts w:hint="eastAsia"/>
        <w:lang w:val="en-US"/>
      </w:rPr>
    </w:lvl>
    <w:lvl w:ilvl="2">
      <w:start w:val="1"/>
      <w:numFmt w:val="decimal"/>
      <w:suff w:val="nothing"/>
      <w:lvlText w:val="%3、"/>
      <w:lvlJc w:val="left"/>
      <w:pPr>
        <w:tabs>
          <w:tab w:val="left" w:pos="309"/>
        </w:tabs>
        <w:ind w:left="309" w:firstLine="400"/>
      </w:pPr>
      <w:rPr>
        <w:b w:val="0"/>
        <w:bCs w:val="0"/>
        <w:i w:val="0"/>
        <w:iCs w:val="0"/>
        <w:caps w:val="0"/>
        <w:smallCaps w:val="0"/>
        <w:strike w:val="0"/>
        <w:dstrike w:val="0"/>
        <w:outline w:val="0"/>
        <w:shadow w:val="0"/>
        <w:emboss w:val="0"/>
        <w:imprint w:val="0"/>
        <w:vanish w:val="0"/>
        <w:spacing w:val="0"/>
        <w:position w:val="0"/>
        <w:u w:val="none"/>
        <w:vertAlign w:val="baseline"/>
      </w:rPr>
    </w:lvl>
    <w:lvl w:ilvl="3">
      <w:start w:val="1"/>
      <w:numFmt w:val="none"/>
      <w:pStyle w:val="4"/>
      <w:suff w:val="nothing"/>
      <w:lvlText w:val=""/>
      <w:lvlJc w:val="left"/>
      <w:pPr>
        <w:tabs>
          <w:tab w:val="left" w:pos="0"/>
        </w:tabs>
        <w:ind w:left="0" w:firstLine="402"/>
      </w:pPr>
      <w:rPr>
        <w:rFonts w:ascii="宋体" w:eastAsia="宋体" w:hAnsi="宋体" w:cs="宋体"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4">
    <w:nsid w:val="59C92FBB"/>
    <w:multiLevelType w:val="singleLevel"/>
    <w:tmpl w:val="59C92FBB"/>
    <w:lvl w:ilvl="0">
      <w:start w:val="1"/>
      <w:numFmt w:val="bullet"/>
      <w:lvlText w:val=""/>
      <w:lvlJc w:val="left"/>
      <w:pPr>
        <w:ind w:left="420" w:hanging="420"/>
      </w:pPr>
      <w:rPr>
        <w:rFonts w:ascii="Wingdings" w:hAnsi="Wingdings" w:hint="default"/>
      </w:rPr>
    </w:lvl>
  </w:abstractNum>
  <w:abstractNum w:abstractNumId="5">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92D4CA4"/>
    <w:rsid w:val="00000603"/>
    <w:rsid w:val="00007A5C"/>
    <w:rsid w:val="00014206"/>
    <w:rsid w:val="00014A1F"/>
    <w:rsid w:val="00015403"/>
    <w:rsid w:val="000225EF"/>
    <w:rsid w:val="000227A8"/>
    <w:rsid w:val="00023193"/>
    <w:rsid w:val="00026E2C"/>
    <w:rsid w:val="000318F0"/>
    <w:rsid w:val="00033E06"/>
    <w:rsid w:val="000476F3"/>
    <w:rsid w:val="00052787"/>
    <w:rsid w:val="00052800"/>
    <w:rsid w:val="00060F4C"/>
    <w:rsid w:val="00063B24"/>
    <w:rsid w:val="000661C3"/>
    <w:rsid w:val="000669C3"/>
    <w:rsid w:val="0007116C"/>
    <w:rsid w:val="00071D07"/>
    <w:rsid w:val="0007606F"/>
    <w:rsid w:val="0008269C"/>
    <w:rsid w:val="00083E4B"/>
    <w:rsid w:val="0008591E"/>
    <w:rsid w:val="00087F69"/>
    <w:rsid w:val="000957C6"/>
    <w:rsid w:val="000A080B"/>
    <w:rsid w:val="000A2F1A"/>
    <w:rsid w:val="000A59D7"/>
    <w:rsid w:val="000A5F9C"/>
    <w:rsid w:val="000A7C13"/>
    <w:rsid w:val="000B4327"/>
    <w:rsid w:val="000B74D0"/>
    <w:rsid w:val="000C1863"/>
    <w:rsid w:val="000C2864"/>
    <w:rsid w:val="000C48A2"/>
    <w:rsid w:val="000C4FFA"/>
    <w:rsid w:val="000C5A5F"/>
    <w:rsid w:val="000C6388"/>
    <w:rsid w:val="000D776E"/>
    <w:rsid w:val="000E2481"/>
    <w:rsid w:val="000E4BD3"/>
    <w:rsid w:val="000F4F72"/>
    <w:rsid w:val="0010108D"/>
    <w:rsid w:val="00102A10"/>
    <w:rsid w:val="001059DE"/>
    <w:rsid w:val="0010739D"/>
    <w:rsid w:val="00113B19"/>
    <w:rsid w:val="0011410C"/>
    <w:rsid w:val="00114BEC"/>
    <w:rsid w:val="00116991"/>
    <w:rsid w:val="00116A56"/>
    <w:rsid w:val="00117BA5"/>
    <w:rsid w:val="00117D2D"/>
    <w:rsid w:val="00124167"/>
    <w:rsid w:val="0013078C"/>
    <w:rsid w:val="001343EF"/>
    <w:rsid w:val="00136A50"/>
    <w:rsid w:val="00142EDF"/>
    <w:rsid w:val="00165514"/>
    <w:rsid w:val="00177013"/>
    <w:rsid w:val="00191BE0"/>
    <w:rsid w:val="00194BA8"/>
    <w:rsid w:val="0019617B"/>
    <w:rsid w:val="001A4096"/>
    <w:rsid w:val="001A6B9C"/>
    <w:rsid w:val="001B09DD"/>
    <w:rsid w:val="001B17DB"/>
    <w:rsid w:val="001C53FC"/>
    <w:rsid w:val="001D39AE"/>
    <w:rsid w:val="001D54AE"/>
    <w:rsid w:val="001D5A7B"/>
    <w:rsid w:val="001D5BCB"/>
    <w:rsid w:val="001E16D1"/>
    <w:rsid w:val="00201C38"/>
    <w:rsid w:val="0020661E"/>
    <w:rsid w:val="00216B30"/>
    <w:rsid w:val="0023088C"/>
    <w:rsid w:val="00232ADC"/>
    <w:rsid w:val="00236742"/>
    <w:rsid w:val="0023754C"/>
    <w:rsid w:val="00241BAD"/>
    <w:rsid w:val="00246E18"/>
    <w:rsid w:val="00250B47"/>
    <w:rsid w:val="00251521"/>
    <w:rsid w:val="002522AB"/>
    <w:rsid w:val="00256FE2"/>
    <w:rsid w:val="00257F64"/>
    <w:rsid w:val="0026361B"/>
    <w:rsid w:val="00264354"/>
    <w:rsid w:val="00266568"/>
    <w:rsid w:val="002665F4"/>
    <w:rsid w:val="002810BF"/>
    <w:rsid w:val="002A7C01"/>
    <w:rsid w:val="002A7FB2"/>
    <w:rsid w:val="002C0F6C"/>
    <w:rsid w:val="002D6B86"/>
    <w:rsid w:val="002E0D45"/>
    <w:rsid w:val="002E4D09"/>
    <w:rsid w:val="002E791F"/>
    <w:rsid w:val="002F5FBE"/>
    <w:rsid w:val="002F627C"/>
    <w:rsid w:val="002F76B3"/>
    <w:rsid w:val="002F77D5"/>
    <w:rsid w:val="00302876"/>
    <w:rsid w:val="00302C6B"/>
    <w:rsid w:val="00310417"/>
    <w:rsid w:val="00315ACA"/>
    <w:rsid w:val="003202A5"/>
    <w:rsid w:val="00335F21"/>
    <w:rsid w:val="00342104"/>
    <w:rsid w:val="00350519"/>
    <w:rsid w:val="00360780"/>
    <w:rsid w:val="00362EF2"/>
    <w:rsid w:val="00364F77"/>
    <w:rsid w:val="003658E8"/>
    <w:rsid w:val="00365AE2"/>
    <w:rsid w:val="0036661B"/>
    <w:rsid w:val="00387751"/>
    <w:rsid w:val="0039326A"/>
    <w:rsid w:val="003959CF"/>
    <w:rsid w:val="003B06BA"/>
    <w:rsid w:val="003B6B4B"/>
    <w:rsid w:val="003D11B0"/>
    <w:rsid w:val="003D7B17"/>
    <w:rsid w:val="003D7F48"/>
    <w:rsid w:val="003E4DE6"/>
    <w:rsid w:val="003E6C84"/>
    <w:rsid w:val="003F4288"/>
    <w:rsid w:val="0040219A"/>
    <w:rsid w:val="0040373D"/>
    <w:rsid w:val="00404EB0"/>
    <w:rsid w:val="00405F60"/>
    <w:rsid w:val="004130EF"/>
    <w:rsid w:val="00414D22"/>
    <w:rsid w:val="0041749C"/>
    <w:rsid w:val="00420BF6"/>
    <w:rsid w:val="0042245D"/>
    <w:rsid w:val="00423E0D"/>
    <w:rsid w:val="00424DC7"/>
    <w:rsid w:val="00431E41"/>
    <w:rsid w:val="0043209E"/>
    <w:rsid w:val="00445089"/>
    <w:rsid w:val="004463C5"/>
    <w:rsid w:val="004561D3"/>
    <w:rsid w:val="00462C8A"/>
    <w:rsid w:val="00464D72"/>
    <w:rsid w:val="00465EF1"/>
    <w:rsid w:val="004669EB"/>
    <w:rsid w:val="00466F09"/>
    <w:rsid w:val="00467911"/>
    <w:rsid w:val="00471B60"/>
    <w:rsid w:val="00474088"/>
    <w:rsid w:val="0048314F"/>
    <w:rsid w:val="00483792"/>
    <w:rsid w:val="00484A75"/>
    <w:rsid w:val="00485CA5"/>
    <w:rsid w:val="00490DB1"/>
    <w:rsid w:val="004926DB"/>
    <w:rsid w:val="00497697"/>
    <w:rsid w:val="004A1ABA"/>
    <w:rsid w:val="004A245C"/>
    <w:rsid w:val="004B0B80"/>
    <w:rsid w:val="004B5A10"/>
    <w:rsid w:val="004C1127"/>
    <w:rsid w:val="004D5976"/>
    <w:rsid w:val="004D6AE6"/>
    <w:rsid w:val="004F45FA"/>
    <w:rsid w:val="004F49B9"/>
    <w:rsid w:val="00502114"/>
    <w:rsid w:val="00503C98"/>
    <w:rsid w:val="005048E0"/>
    <w:rsid w:val="00506060"/>
    <w:rsid w:val="005074F7"/>
    <w:rsid w:val="00510DED"/>
    <w:rsid w:val="00515F1D"/>
    <w:rsid w:val="005221F5"/>
    <w:rsid w:val="00527DC5"/>
    <w:rsid w:val="00527EAF"/>
    <w:rsid w:val="005315D4"/>
    <w:rsid w:val="005363F7"/>
    <w:rsid w:val="00541B60"/>
    <w:rsid w:val="00553D3A"/>
    <w:rsid w:val="00555B2B"/>
    <w:rsid w:val="00557A4F"/>
    <w:rsid w:val="00557D9B"/>
    <w:rsid w:val="005607D8"/>
    <w:rsid w:val="0056183B"/>
    <w:rsid w:val="005623C4"/>
    <w:rsid w:val="0057224C"/>
    <w:rsid w:val="005808BA"/>
    <w:rsid w:val="00581AE2"/>
    <w:rsid w:val="0058203C"/>
    <w:rsid w:val="00582CED"/>
    <w:rsid w:val="00595EE8"/>
    <w:rsid w:val="00596821"/>
    <w:rsid w:val="005A50FD"/>
    <w:rsid w:val="005A7224"/>
    <w:rsid w:val="005B4499"/>
    <w:rsid w:val="005C4DAF"/>
    <w:rsid w:val="005C737D"/>
    <w:rsid w:val="005D0513"/>
    <w:rsid w:val="005D297D"/>
    <w:rsid w:val="005D2A03"/>
    <w:rsid w:val="005D555D"/>
    <w:rsid w:val="005D6B7D"/>
    <w:rsid w:val="005E2ACC"/>
    <w:rsid w:val="005E5B7D"/>
    <w:rsid w:val="005F0D77"/>
    <w:rsid w:val="005F3702"/>
    <w:rsid w:val="005F4601"/>
    <w:rsid w:val="005F556B"/>
    <w:rsid w:val="005F5EB2"/>
    <w:rsid w:val="006012A1"/>
    <w:rsid w:val="00601DE9"/>
    <w:rsid w:val="00607639"/>
    <w:rsid w:val="006144A0"/>
    <w:rsid w:val="00614FEC"/>
    <w:rsid w:val="006217D3"/>
    <w:rsid w:val="00623525"/>
    <w:rsid w:val="00624B04"/>
    <w:rsid w:val="00626709"/>
    <w:rsid w:val="00631683"/>
    <w:rsid w:val="00631E62"/>
    <w:rsid w:val="00633A54"/>
    <w:rsid w:val="00635899"/>
    <w:rsid w:val="00635FF4"/>
    <w:rsid w:val="00636957"/>
    <w:rsid w:val="0064149E"/>
    <w:rsid w:val="00652BEA"/>
    <w:rsid w:val="00653AB9"/>
    <w:rsid w:val="006557A7"/>
    <w:rsid w:val="006605EE"/>
    <w:rsid w:val="00660E73"/>
    <w:rsid w:val="006612EF"/>
    <w:rsid w:val="00666961"/>
    <w:rsid w:val="0067127E"/>
    <w:rsid w:val="006744AB"/>
    <w:rsid w:val="00675DF4"/>
    <w:rsid w:val="006773B5"/>
    <w:rsid w:val="00677D55"/>
    <w:rsid w:val="00683086"/>
    <w:rsid w:val="00683D61"/>
    <w:rsid w:val="00686415"/>
    <w:rsid w:val="00686697"/>
    <w:rsid w:val="006963E6"/>
    <w:rsid w:val="00696E3F"/>
    <w:rsid w:val="00697451"/>
    <w:rsid w:val="006A1274"/>
    <w:rsid w:val="006A1E90"/>
    <w:rsid w:val="006A5E40"/>
    <w:rsid w:val="006C0750"/>
    <w:rsid w:val="006C626B"/>
    <w:rsid w:val="006C6BBD"/>
    <w:rsid w:val="006D2E32"/>
    <w:rsid w:val="006D430B"/>
    <w:rsid w:val="006D75FC"/>
    <w:rsid w:val="006E069A"/>
    <w:rsid w:val="006E3B73"/>
    <w:rsid w:val="006E3FF9"/>
    <w:rsid w:val="006E4194"/>
    <w:rsid w:val="006E52BE"/>
    <w:rsid w:val="006F37C4"/>
    <w:rsid w:val="006F3DDD"/>
    <w:rsid w:val="006F7F6B"/>
    <w:rsid w:val="00700125"/>
    <w:rsid w:val="00705874"/>
    <w:rsid w:val="00706F1B"/>
    <w:rsid w:val="00707580"/>
    <w:rsid w:val="00711CD6"/>
    <w:rsid w:val="00713F5D"/>
    <w:rsid w:val="007274AE"/>
    <w:rsid w:val="00732755"/>
    <w:rsid w:val="007339A9"/>
    <w:rsid w:val="00733B63"/>
    <w:rsid w:val="00735D88"/>
    <w:rsid w:val="007367C7"/>
    <w:rsid w:val="00744EC4"/>
    <w:rsid w:val="00761D54"/>
    <w:rsid w:val="00762FA3"/>
    <w:rsid w:val="00763E9C"/>
    <w:rsid w:val="00765525"/>
    <w:rsid w:val="007728B8"/>
    <w:rsid w:val="00772ECE"/>
    <w:rsid w:val="00773851"/>
    <w:rsid w:val="00776394"/>
    <w:rsid w:val="00780D2A"/>
    <w:rsid w:val="007845EA"/>
    <w:rsid w:val="00785193"/>
    <w:rsid w:val="0078721E"/>
    <w:rsid w:val="007955D2"/>
    <w:rsid w:val="007A3762"/>
    <w:rsid w:val="007A43BE"/>
    <w:rsid w:val="007A7C20"/>
    <w:rsid w:val="007C2A1B"/>
    <w:rsid w:val="007D1254"/>
    <w:rsid w:val="007E73B2"/>
    <w:rsid w:val="00804785"/>
    <w:rsid w:val="0080508E"/>
    <w:rsid w:val="008058D1"/>
    <w:rsid w:val="008137B0"/>
    <w:rsid w:val="008204E2"/>
    <w:rsid w:val="008227A8"/>
    <w:rsid w:val="00822DF5"/>
    <w:rsid w:val="0082414A"/>
    <w:rsid w:val="00825498"/>
    <w:rsid w:val="00826F0B"/>
    <w:rsid w:val="008311EA"/>
    <w:rsid w:val="00836C0D"/>
    <w:rsid w:val="00841E30"/>
    <w:rsid w:val="00843C74"/>
    <w:rsid w:val="00843D97"/>
    <w:rsid w:val="00847879"/>
    <w:rsid w:val="00847CF1"/>
    <w:rsid w:val="008503C4"/>
    <w:rsid w:val="008533C0"/>
    <w:rsid w:val="00854E47"/>
    <w:rsid w:val="008563F3"/>
    <w:rsid w:val="00857B1A"/>
    <w:rsid w:val="00861487"/>
    <w:rsid w:val="0086281C"/>
    <w:rsid w:val="0087042F"/>
    <w:rsid w:val="008714CC"/>
    <w:rsid w:val="008A168A"/>
    <w:rsid w:val="008A5476"/>
    <w:rsid w:val="008A69F5"/>
    <w:rsid w:val="008B3B55"/>
    <w:rsid w:val="008B66FA"/>
    <w:rsid w:val="008B67B5"/>
    <w:rsid w:val="008B7E75"/>
    <w:rsid w:val="008C710C"/>
    <w:rsid w:val="008C7237"/>
    <w:rsid w:val="008D10B6"/>
    <w:rsid w:val="008D20EB"/>
    <w:rsid w:val="008E2115"/>
    <w:rsid w:val="008E2413"/>
    <w:rsid w:val="008E63B4"/>
    <w:rsid w:val="008F0C21"/>
    <w:rsid w:val="008F68EB"/>
    <w:rsid w:val="0091161D"/>
    <w:rsid w:val="00913FE1"/>
    <w:rsid w:val="00915B4E"/>
    <w:rsid w:val="0091601C"/>
    <w:rsid w:val="00917CF3"/>
    <w:rsid w:val="00920EC1"/>
    <w:rsid w:val="009215F4"/>
    <w:rsid w:val="009233DF"/>
    <w:rsid w:val="009260E4"/>
    <w:rsid w:val="00927C70"/>
    <w:rsid w:val="009305CC"/>
    <w:rsid w:val="0093198D"/>
    <w:rsid w:val="0093230B"/>
    <w:rsid w:val="00932635"/>
    <w:rsid w:val="0094122C"/>
    <w:rsid w:val="00945895"/>
    <w:rsid w:val="009510F2"/>
    <w:rsid w:val="00957316"/>
    <w:rsid w:val="009654FE"/>
    <w:rsid w:val="00972140"/>
    <w:rsid w:val="009737EB"/>
    <w:rsid w:val="009742C1"/>
    <w:rsid w:val="00975F63"/>
    <w:rsid w:val="0098675E"/>
    <w:rsid w:val="00986E95"/>
    <w:rsid w:val="009921F2"/>
    <w:rsid w:val="009B0A97"/>
    <w:rsid w:val="009B295D"/>
    <w:rsid w:val="009B2CBE"/>
    <w:rsid w:val="009B4092"/>
    <w:rsid w:val="009B46F1"/>
    <w:rsid w:val="009B53CF"/>
    <w:rsid w:val="009B7945"/>
    <w:rsid w:val="009C031C"/>
    <w:rsid w:val="009C2043"/>
    <w:rsid w:val="009D5586"/>
    <w:rsid w:val="009D79F6"/>
    <w:rsid w:val="009E23EB"/>
    <w:rsid w:val="009E25C6"/>
    <w:rsid w:val="009E528B"/>
    <w:rsid w:val="009E5D87"/>
    <w:rsid w:val="009E735F"/>
    <w:rsid w:val="009E7767"/>
    <w:rsid w:val="009F0AEE"/>
    <w:rsid w:val="00A00477"/>
    <w:rsid w:val="00A21D96"/>
    <w:rsid w:val="00A30CB8"/>
    <w:rsid w:val="00A30F49"/>
    <w:rsid w:val="00A31976"/>
    <w:rsid w:val="00A363E8"/>
    <w:rsid w:val="00A413B0"/>
    <w:rsid w:val="00A50768"/>
    <w:rsid w:val="00A567B0"/>
    <w:rsid w:val="00A57E52"/>
    <w:rsid w:val="00A6002B"/>
    <w:rsid w:val="00A61ADF"/>
    <w:rsid w:val="00A6219F"/>
    <w:rsid w:val="00A86C09"/>
    <w:rsid w:val="00A87295"/>
    <w:rsid w:val="00A91934"/>
    <w:rsid w:val="00A94514"/>
    <w:rsid w:val="00AB3538"/>
    <w:rsid w:val="00AB6D30"/>
    <w:rsid w:val="00AC04B6"/>
    <w:rsid w:val="00AC25FC"/>
    <w:rsid w:val="00AC2EB1"/>
    <w:rsid w:val="00AD6775"/>
    <w:rsid w:val="00AE06F7"/>
    <w:rsid w:val="00AE1910"/>
    <w:rsid w:val="00AE389A"/>
    <w:rsid w:val="00AE7112"/>
    <w:rsid w:val="00AF5D3C"/>
    <w:rsid w:val="00B031AB"/>
    <w:rsid w:val="00B0496A"/>
    <w:rsid w:val="00B05C6D"/>
    <w:rsid w:val="00B06E36"/>
    <w:rsid w:val="00B07A64"/>
    <w:rsid w:val="00B123AC"/>
    <w:rsid w:val="00B163D2"/>
    <w:rsid w:val="00B16D2D"/>
    <w:rsid w:val="00B21202"/>
    <w:rsid w:val="00B305AE"/>
    <w:rsid w:val="00B32784"/>
    <w:rsid w:val="00B42D20"/>
    <w:rsid w:val="00B442DD"/>
    <w:rsid w:val="00B454C6"/>
    <w:rsid w:val="00B47A0A"/>
    <w:rsid w:val="00B52F0D"/>
    <w:rsid w:val="00B64927"/>
    <w:rsid w:val="00B65244"/>
    <w:rsid w:val="00B673E8"/>
    <w:rsid w:val="00B7109C"/>
    <w:rsid w:val="00B7398D"/>
    <w:rsid w:val="00B80EC1"/>
    <w:rsid w:val="00B8107D"/>
    <w:rsid w:val="00B85F3B"/>
    <w:rsid w:val="00B90AE3"/>
    <w:rsid w:val="00B946E1"/>
    <w:rsid w:val="00BA207F"/>
    <w:rsid w:val="00BA3181"/>
    <w:rsid w:val="00BB3943"/>
    <w:rsid w:val="00BB481D"/>
    <w:rsid w:val="00BC0CD0"/>
    <w:rsid w:val="00BC21CF"/>
    <w:rsid w:val="00BC44A9"/>
    <w:rsid w:val="00BC5AAC"/>
    <w:rsid w:val="00BD26D0"/>
    <w:rsid w:val="00BD2B95"/>
    <w:rsid w:val="00BD3D6A"/>
    <w:rsid w:val="00BD75B9"/>
    <w:rsid w:val="00BE008D"/>
    <w:rsid w:val="00BE12CC"/>
    <w:rsid w:val="00BE1DC0"/>
    <w:rsid w:val="00BE6EBC"/>
    <w:rsid w:val="00BE711D"/>
    <w:rsid w:val="00BF1A43"/>
    <w:rsid w:val="00C115E5"/>
    <w:rsid w:val="00C11E2B"/>
    <w:rsid w:val="00C13828"/>
    <w:rsid w:val="00C14551"/>
    <w:rsid w:val="00C15D85"/>
    <w:rsid w:val="00C2456E"/>
    <w:rsid w:val="00C31E7E"/>
    <w:rsid w:val="00C32724"/>
    <w:rsid w:val="00C36CCF"/>
    <w:rsid w:val="00C41608"/>
    <w:rsid w:val="00C43B88"/>
    <w:rsid w:val="00C44AA9"/>
    <w:rsid w:val="00C46BE6"/>
    <w:rsid w:val="00C4702F"/>
    <w:rsid w:val="00C50F90"/>
    <w:rsid w:val="00C5536B"/>
    <w:rsid w:val="00C55EA8"/>
    <w:rsid w:val="00C6124F"/>
    <w:rsid w:val="00C63693"/>
    <w:rsid w:val="00C6724D"/>
    <w:rsid w:val="00C70888"/>
    <w:rsid w:val="00C84F00"/>
    <w:rsid w:val="00C90F99"/>
    <w:rsid w:val="00C91137"/>
    <w:rsid w:val="00C919D0"/>
    <w:rsid w:val="00C95CE2"/>
    <w:rsid w:val="00CA003B"/>
    <w:rsid w:val="00CA1489"/>
    <w:rsid w:val="00CA25F5"/>
    <w:rsid w:val="00CA2C5E"/>
    <w:rsid w:val="00CA45EC"/>
    <w:rsid w:val="00CA6642"/>
    <w:rsid w:val="00CB053F"/>
    <w:rsid w:val="00CB12E9"/>
    <w:rsid w:val="00CB3AEA"/>
    <w:rsid w:val="00CB6328"/>
    <w:rsid w:val="00CC20F3"/>
    <w:rsid w:val="00CC5A07"/>
    <w:rsid w:val="00CC7027"/>
    <w:rsid w:val="00CC733E"/>
    <w:rsid w:val="00CD0727"/>
    <w:rsid w:val="00CD14DD"/>
    <w:rsid w:val="00CE3069"/>
    <w:rsid w:val="00CF4C06"/>
    <w:rsid w:val="00CF7D21"/>
    <w:rsid w:val="00D035A3"/>
    <w:rsid w:val="00D073CE"/>
    <w:rsid w:val="00D078DF"/>
    <w:rsid w:val="00D15EF2"/>
    <w:rsid w:val="00D20C61"/>
    <w:rsid w:val="00D26028"/>
    <w:rsid w:val="00D262B5"/>
    <w:rsid w:val="00D342B5"/>
    <w:rsid w:val="00D34CE4"/>
    <w:rsid w:val="00D37152"/>
    <w:rsid w:val="00D40B73"/>
    <w:rsid w:val="00D47442"/>
    <w:rsid w:val="00D539A8"/>
    <w:rsid w:val="00D53B88"/>
    <w:rsid w:val="00D53FC2"/>
    <w:rsid w:val="00D57D23"/>
    <w:rsid w:val="00D60733"/>
    <w:rsid w:val="00D66E69"/>
    <w:rsid w:val="00D72745"/>
    <w:rsid w:val="00D74421"/>
    <w:rsid w:val="00D813D1"/>
    <w:rsid w:val="00D82B61"/>
    <w:rsid w:val="00D90DEB"/>
    <w:rsid w:val="00D91E71"/>
    <w:rsid w:val="00DA0402"/>
    <w:rsid w:val="00DA7CD9"/>
    <w:rsid w:val="00DB2181"/>
    <w:rsid w:val="00DB2A92"/>
    <w:rsid w:val="00DB63BD"/>
    <w:rsid w:val="00DB7C21"/>
    <w:rsid w:val="00DC341E"/>
    <w:rsid w:val="00DE2D01"/>
    <w:rsid w:val="00DE3564"/>
    <w:rsid w:val="00DE5CDD"/>
    <w:rsid w:val="00DE6189"/>
    <w:rsid w:val="00DE6700"/>
    <w:rsid w:val="00E05E41"/>
    <w:rsid w:val="00E0633E"/>
    <w:rsid w:val="00E06620"/>
    <w:rsid w:val="00E07189"/>
    <w:rsid w:val="00E163A5"/>
    <w:rsid w:val="00E255E0"/>
    <w:rsid w:val="00E2593F"/>
    <w:rsid w:val="00E25BC7"/>
    <w:rsid w:val="00E2781E"/>
    <w:rsid w:val="00E3455F"/>
    <w:rsid w:val="00E37A84"/>
    <w:rsid w:val="00E47497"/>
    <w:rsid w:val="00E50128"/>
    <w:rsid w:val="00E536E2"/>
    <w:rsid w:val="00E64A9E"/>
    <w:rsid w:val="00E72279"/>
    <w:rsid w:val="00E764AD"/>
    <w:rsid w:val="00E80CB4"/>
    <w:rsid w:val="00E848A0"/>
    <w:rsid w:val="00E9185B"/>
    <w:rsid w:val="00E93B03"/>
    <w:rsid w:val="00E93E50"/>
    <w:rsid w:val="00E95446"/>
    <w:rsid w:val="00EA11D6"/>
    <w:rsid w:val="00EA3935"/>
    <w:rsid w:val="00EB07A5"/>
    <w:rsid w:val="00EB1360"/>
    <w:rsid w:val="00EB7780"/>
    <w:rsid w:val="00EC6185"/>
    <w:rsid w:val="00EC6512"/>
    <w:rsid w:val="00EC7E6B"/>
    <w:rsid w:val="00EE058A"/>
    <w:rsid w:val="00EE28B3"/>
    <w:rsid w:val="00EE708E"/>
    <w:rsid w:val="00EF1E70"/>
    <w:rsid w:val="00EF2049"/>
    <w:rsid w:val="00EF6009"/>
    <w:rsid w:val="00F0028F"/>
    <w:rsid w:val="00F0071B"/>
    <w:rsid w:val="00F00C08"/>
    <w:rsid w:val="00F01D6B"/>
    <w:rsid w:val="00F0205C"/>
    <w:rsid w:val="00F0786D"/>
    <w:rsid w:val="00F152BB"/>
    <w:rsid w:val="00F15493"/>
    <w:rsid w:val="00F211EE"/>
    <w:rsid w:val="00F23B9B"/>
    <w:rsid w:val="00F26BD8"/>
    <w:rsid w:val="00F34278"/>
    <w:rsid w:val="00F34D38"/>
    <w:rsid w:val="00F36683"/>
    <w:rsid w:val="00F36D09"/>
    <w:rsid w:val="00F41C97"/>
    <w:rsid w:val="00F52F69"/>
    <w:rsid w:val="00F5593E"/>
    <w:rsid w:val="00F63BED"/>
    <w:rsid w:val="00F746BF"/>
    <w:rsid w:val="00F74844"/>
    <w:rsid w:val="00F91F70"/>
    <w:rsid w:val="00F9290D"/>
    <w:rsid w:val="00F94136"/>
    <w:rsid w:val="00FA0109"/>
    <w:rsid w:val="00FA33EF"/>
    <w:rsid w:val="00FA7C2A"/>
    <w:rsid w:val="00FB4B22"/>
    <w:rsid w:val="00FC0915"/>
    <w:rsid w:val="00FC28FC"/>
    <w:rsid w:val="00FC4B59"/>
    <w:rsid w:val="00FC5050"/>
    <w:rsid w:val="00FC5291"/>
    <w:rsid w:val="00FC61C9"/>
    <w:rsid w:val="00FC76E4"/>
    <w:rsid w:val="00FD64B6"/>
    <w:rsid w:val="00FF1FCA"/>
    <w:rsid w:val="04394F15"/>
    <w:rsid w:val="092D4CA4"/>
    <w:rsid w:val="0EE613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uiPriority="39" w:qFormat="1"/>
    <w:lsdException w:name="toc 2" w:uiPriority="39" w:qFormat="1"/>
    <w:lsdException w:name="toc 3" w:uiPriority="39" w:qFormat="1"/>
    <w:lsdException w:name="toc 4" w:uiPriority="39"/>
    <w:lsdException w:name="toc 5" w:uiPriority="39" w:unhideWhenUsed="1"/>
    <w:lsdException w:name="toc 6" w:uiPriority="39" w:unhideWhenUsed="1"/>
    <w:lsdException w:name="toc 7" w:uiPriority="39" w:unhideWhenUsed="1" w:qFormat="1"/>
    <w:lsdException w:name="toc 8" w:uiPriority="39" w:unhideWhenUsed="1" w:qFormat="1"/>
    <w:lsdException w:name="toc 9" w:uiPriority="39"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390" w:lineRule="exact"/>
      <w:ind w:firstLineChars="200" w:firstLine="560"/>
      <w:jc w:val="both"/>
    </w:pPr>
    <w:rPr>
      <w:rFonts w:ascii="Times New Roman" w:eastAsia="楷体_GB2312" w:hAnsi="Times New Roman"/>
      <w:kern w:val="2"/>
      <w:sz w:val="24"/>
      <w:szCs w:val="22"/>
    </w:rPr>
  </w:style>
  <w:style w:type="paragraph" w:styleId="1">
    <w:name w:val="heading 1"/>
    <w:basedOn w:val="a"/>
    <w:next w:val="a"/>
    <w:link w:val="1Char"/>
    <w:qFormat/>
    <w:pPr>
      <w:keepNext/>
      <w:keepLines/>
      <w:numPr>
        <w:numId w:val="1"/>
      </w:numPr>
      <w:tabs>
        <w:tab w:val="left" w:pos="0"/>
      </w:tabs>
      <w:ind w:firstLineChars="0" w:firstLine="0"/>
      <w:outlineLvl w:val="0"/>
    </w:pPr>
    <w:rPr>
      <w:rFonts w:eastAsia="宋体"/>
      <w:b/>
      <w:kern w:val="44"/>
      <w:sz w:val="28"/>
    </w:rPr>
  </w:style>
  <w:style w:type="paragraph" w:styleId="2">
    <w:name w:val="heading 2"/>
    <w:basedOn w:val="a"/>
    <w:next w:val="a"/>
    <w:link w:val="2Char"/>
    <w:unhideWhenUsed/>
    <w:qFormat/>
    <w:pPr>
      <w:keepNext/>
      <w:keepLines/>
      <w:numPr>
        <w:ilvl w:val="1"/>
        <w:numId w:val="1"/>
      </w:numPr>
      <w:tabs>
        <w:tab w:val="left" w:pos="1701"/>
      </w:tabs>
      <w:ind w:firstLineChars="0"/>
      <w:outlineLvl w:val="1"/>
    </w:pPr>
    <w:rPr>
      <w:rFonts w:ascii="Arial" w:eastAsia="宋体" w:hAnsi="Arial"/>
      <w:b/>
      <w:sz w:val="28"/>
    </w:rPr>
  </w:style>
  <w:style w:type="paragraph" w:styleId="3">
    <w:name w:val="heading 3"/>
    <w:basedOn w:val="a"/>
    <w:next w:val="a"/>
    <w:link w:val="3Char"/>
    <w:unhideWhenUsed/>
    <w:qFormat/>
    <w:pPr>
      <w:keepNext/>
      <w:keepLines/>
      <w:numPr>
        <w:numId w:val="2"/>
      </w:numPr>
      <w:tabs>
        <w:tab w:val="left" w:pos="309"/>
      </w:tabs>
      <w:ind w:left="0" w:firstLineChars="0" w:firstLine="0"/>
      <w:jc w:val="center"/>
      <w:outlineLvl w:val="2"/>
    </w:pPr>
    <w:rPr>
      <w:rFonts w:eastAsia="黑体"/>
      <w:b/>
      <w:sz w:val="28"/>
    </w:rPr>
  </w:style>
  <w:style w:type="paragraph" w:styleId="4">
    <w:name w:val="heading 4"/>
    <w:basedOn w:val="a"/>
    <w:next w:val="a"/>
    <w:link w:val="4Char"/>
    <w:unhideWhenUsed/>
    <w:qFormat/>
    <w:pPr>
      <w:keepNext/>
      <w:keepLines/>
      <w:numPr>
        <w:ilvl w:val="3"/>
        <w:numId w:val="1"/>
      </w:numPr>
      <w:spacing w:before="260" w:after="260"/>
      <w:ind w:firstLineChars="0" w:firstLine="0"/>
      <w:jc w:val="center"/>
      <w:outlineLvl w:val="3"/>
    </w:pPr>
    <w:rPr>
      <w:rFonts w:ascii="楷体_GB2312" w:hAnsi="楷体_GB2312" w:cs="楷体_GB2312"/>
    </w:rPr>
  </w:style>
  <w:style w:type="paragraph" w:styleId="5">
    <w:name w:val="heading 5"/>
    <w:basedOn w:val="a"/>
    <w:next w:val="a"/>
    <w:unhideWhenUsed/>
    <w:qFormat/>
    <w:pPr>
      <w:keepNext/>
      <w:keepLines/>
      <w:numPr>
        <w:ilvl w:val="4"/>
        <w:numId w:val="1"/>
      </w:numPr>
      <w:spacing w:line="372" w:lineRule="auto"/>
      <w:ind w:firstLineChars="0" w:firstLine="0"/>
      <w:outlineLvl w:val="4"/>
    </w:pPr>
    <w:rPr>
      <w:b/>
      <w:sz w:val="28"/>
    </w:rPr>
  </w:style>
  <w:style w:type="paragraph" w:styleId="6">
    <w:name w:val="heading 6"/>
    <w:basedOn w:val="a"/>
    <w:next w:val="a"/>
    <w:unhideWhenUsed/>
    <w:qFormat/>
    <w:pPr>
      <w:keepNext/>
      <w:keepLines/>
      <w:numPr>
        <w:ilvl w:val="5"/>
        <w:numId w:val="1"/>
      </w:numPr>
      <w:spacing w:line="317" w:lineRule="auto"/>
      <w:ind w:firstLineChars="0" w:firstLine="0"/>
      <w:outlineLvl w:val="5"/>
    </w:pPr>
    <w:rPr>
      <w:rFonts w:ascii="Arial" w:eastAsia="黑体" w:hAnsi="Arial"/>
      <w:b/>
    </w:rPr>
  </w:style>
  <w:style w:type="paragraph" w:styleId="7">
    <w:name w:val="heading 7"/>
    <w:basedOn w:val="a"/>
    <w:next w:val="a"/>
    <w:unhideWhenUsed/>
    <w:qFormat/>
    <w:pPr>
      <w:keepNext/>
      <w:keepLines/>
      <w:numPr>
        <w:ilvl w:val="6"/>
        <w:numId w:val="1"/>
      </w:numPr>
      <w:spacing w:line="317" w:lineRule="auto"/>
      <w:ind w:firstLineChars="0" w:firstLine="0"/>
      <w:outlineLvl w:val="6"/>
    </w:pPr>
    <w:rPr>
      <w:b/>
    </w:rPr>
  </w:style>
  <w:style w:type="paragraph" w:styleId="8">
    <w:name w:val="heading 8"/>
    <w:basedOn w:val="a"/>
    <w:next w:val="a"/>
    <w:unhideWhenUsed/>
    <w:qFormat/>
    <w:pPr>
      <w:keepNext/>
      <w:keepLines/>
      <w:numPr>
        <w:ilvl w:val="7"/>
        <w:numId w:val="1"/>
      </w:numPr>
      <w:spacing w:line="317" w:lineRule="auto"/>
      <w:ind w:firstLineChars="0" w:firstLine="0"/>
      <w:outlineLvl w:val="7"/>
    </w:pPr>
    <w:rPr>
      <w:rFonts w:ascii="Arial" w:eastAsia="黑体" w:hAnsi="Arial"/>
    </w:rPr>
  </w:style>
  <w:style w:type="paragraph" w:styleId="9">
    <w:name w:val="heading 9"/>
    <w:basedOn w:val="a"/>
    <w:next w:val="a"/>
    <w:unhideWhenUsed/>
    <w:qFormat/>
    <w:pPr>
      <w:keepNext/>
      <w:keepLines/>
      <w:numPr>
        <w:ilvl w:val="8"/>
        <w:numId w:val="1"/>
      </w:numPr>
      <w:spacing w:line="317" w:lineRule="auto"/>
      <w:ind w:firstLineChars="0" w:firstLine="0"/>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widowControl w:val="0"/>
      <w:spacing w:line="240" w:lineRule="auto"/>
      <w:ind w:leftChars="1200" w:left="2520" w:firstLineChars="0" w:firstLine="0"/>
    </w:pPr>
    <w:rPr>
      <w:rFonts w:asciiTheme="minorHAnsi" w:eastAsiaTheme="minorEastAsia" w:hAnsiTheme="minorHAnsi"/>
      <w:sz w:val="21"/>
    </w:rPr>
  </w:style>
  <w:style w:type="paragraph" w:styleId="50">
    <w:name w:val="toc 5"/>
    <w:basedOn w:val="a"/>
    <w:next w:val="a"/>
    <w:uiPriority w:val="39"/>
    <w:unhideWhenUsed/>
    <w:pPr>
      <w:widowControl w:val="0"/>
      <w:spacing w:line="240" w:lineRule="auto"/>
      <w:ind w:leftChars="800" w:left="1680" w:firstLineChars="0" w:firstLine="0"/>
    </w:pPr>
    <w:rPr>
      <w:rFonts w:asciiTheme="minorHAnsi" w:eastAsiaTheme="minorEastAsia" w:hAnsiTheme="minorHAnsi"/>
      <w:sz w:val="21"/>
    </w:rPr>
  </w:style>
  <w:style w:type="paragraph" w:styleId="30">
    <w:name w:val="toc 3"/>
    <w:basedOn w:val="a"/>
    <w:next w:val="a"/>
    <w:uiPriority w:val="39"/>
    <w:qFormat/>
    <w:pPr>
      <w:ind w:leftChars="400" w:left="840"/>
    </w:pPr>
  </w:style>
  <w:style w:type="paragraph" w:styleId="80">
    <w:name w:val="toc 8"/>
    <w:basedOn w:val="a"/>
    <w:next w:val="a"/>
    <w:uiPriority w:val="39"/>
    <w:unhideWhenUsed/>
    <w:qFormat/>
    <w:pPr>
      <w:widowControl w:val="0"/>
      <w:spacing w:line="240" w:lineRule="auto"/>
      <w:ind w:leftChars="1400" w:left="2940" w:firstLineChars="0" w:firstLine="0"/>
    </w:pPr>
    <w:rPr>
      <w:rFonts w:asciiTheme="minorHAnsi" w:eastAsiaTheme="minorEastAsia" w:hAnsiTheme="minorHAnsi"/>
      <w:sz w:val="21"/>
    </w:rPr>
  </w:style>
  <w:style w:type="paragraph" w:styleId="a3">
    <w:name w:val="Balloon Text"/>
    <w:basedOn w:val="a"/>
    <w:link w:val="Char"/>
    <w:qFormat/>
    <w:pPr>
      <w:spacing w:line="240" w:lineRule="auto"/>
    </w:pPr>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style>
  <w:style w:type="paragraph" w:styleId="40">
    <w:name w:val="toc 4"/>
    <w:basedOn w:val="a"/>
    <w:next w:val="a"/>
    <w:uiPriority w:val="39"/>
    <w:pPr>
      <w:ind w:leftChars="600" w:left="1260"/>
    </w:pPr>
  </w:style>
  <w:style w:type="paragraph" w:styleId="60">
    <w:name w:val="toc 6"/>
    <w:basedOn w:val="a"/>
    <w:next w:val="a"/>
    <w:uiPriority w:val="39"/>
    <w:unhideWhenUsed/>
    <w:pPr>
      <w:widowControl w:val="0"/>
      <w:spacing w:line="240" w:lineRule="auto"/>
      <w:ind w:leftChars="1000" w:left="2100" w:firstLineChars="0" w:firstLine="0"/>
    </w:pPr>
    <w:rPr>
      <w:rFonts w:asciiTheme="minorHAnsi" w:eastAsiaTheme="minorEastAsia" w:hAnsiTheme="minorHAnsi"/>
      <w:sz w:val="21"/>
    </w:rPr>
  </w:style>
  <w:style w:type="paragraph" w:styleId="20">
    <w:name w:val="toc 2"/>
    <w:basedOn w:val="a"/>
    <w:next w:val="a"/>
    <w:uiPriority w:val="39"/>
    <w:qFormat/>
    <w:pPr>
      <w:ind w:leftChars="200" w:left="420"/>
    </w:pPr>
  </w:style>
  <w:style w:type="paragraph" w:styleId="90">
    <w:name w:val="toc 9"/>
    <w:basedOn w:val="a"/>
    <w:next w:val="a"/>
    <w:uiPriority w:val="39"/>
    <w:unhideWhenUsed/>
    <w:qFormat/>
    <w:pPr>
      <w:widowControl w:val="0"/>
      <w:spacing w:line="240" w:lineRule="auto"/>
      <w:ind w:leftChars="1600" w:left="3360" w:firstLineChars="0" w:firstLine="0"/>
    </w:pPr>
    <w:rPr>
      <w:rFonts w:asciiTheme="minorHAnsi" w:eastAsiaTheme="minorEastAsia" w:hAnsiTheme="minorHAnsi"/>
      <w:sz w:val="21"/>
    </w:rPr>
  </w:style>
  <w:style w:type="paragraph" w:styleId="a6">
    <w:name w:val="Normal (Web)"/>
    <w:basedOn w:val="a"/>
    <w:uiPriority w:val="99"/>
    <w:pPr>
      <w:spacing w:before="100" w:beforeAutospacing="1" w:after="100" w:afterAutospacing="1"/>
      <w:ind w:firstLine="480"/>
      <w:contextualSpacing/>
      <w:jc w:val="left"/>
    </w:pPr>
    <w:rPr>
      <w:rFonts w:ascii="宋体" w:hAnsi="宋体" w:cs="宋体"/>
      <w:kern w:val="0"/>
      <w:szCs w:val="24"/>
    </w:rPr>
  </w:style>
  <w:style w:type="character" w:styleId="a7">
    <w:name w:val="Strong"/>
    <w:basedOn w:val="a0"/>
    <w:uiPriority w:val="22"/>
    <w:qFormat/>
    <w:rPr>
      <w:b/>
      <w:bCs/>
    </w:rPr>
  </w:style>
  <w:style w:type="character" w:styleId="a8">
    <w:name w:val="Hyperlink"/>
    <w:basedOn w:val="a0"/>
    <w:uiPriority w:val="99"/>
    <w:unhideWhenUsed/>
    <w:qFormat/>
    <w:rPr>
      <w:color w:val="0563C1" w:themeColor="hyperlink"/>
      <w:u w:val="single"/>
    </w:rPr>
  </w:style>
  <w:style w:type="character" w:customStyle="1" w:styleId="1Char">
    <w:name w:val="标题 1 Char"/>
    <w:link w:val="1"/>
    <w:rPr>
      <w:rFonts w:ascii="Times New Roman" w:eastAsia="宋体" w:hAnsi="Times New Roman"/>
      <w:b/>
      <w:kern w:val="44"/>
      <w:sz w:val="28"/>
      <w:szCs w:val="22"/>
    </w:rPr>
  </w:style>
  <w:style w:type="character" w:customStyle="1" w:styleId="3Char">
    <w:name w:val="标题 3 Char"/>
    <w:link w:val="3"/>
    <w:qFormat/>
    <w:rPr>
      <w:rFonts w:ascii="Times New Roman" w:eastAsia="黑体" w:hAnsi="Times New Roman"/>
      <w:b/>
      <w:kern w:val="2"/>
      <w:sz w:val="28"/>
      <w:szCs w:val="22"/>
    </w:rPr>
  </w:style>
  <w:style w:type="character" w:customStyle="1" w:styleId="Char">
    <w:name w:val="批注框文本 Char"/>
    <w:basedOn w:val="a0"/>
    <w:link w:val="a3"/>
    <w:qFormat/>
    <w:rPr>
      <w:rFonts w:ascii="Times New Roman" w:eastAsia="楷体_GB2312" w:hAnsi="Times New Roman"/>
      <w:kern w:val="2"/>
      <w:sz w:val="18"/>
      <w:szCs w:val="18"/>
    </w:rPr>
  </w:style>
  <w:style w:type="character" w:customStyle="1" w:styleId="Char1">
    <w:name w:val="页眉 Char"/>
    <w:basedOn w:val="a0"/>
    <w:link w:val="a5"/>
    <w:uiPriority w:val="99"/>
    <w:qFormat/>
    <w:rPr>
      <w:rFonts w:ascii="Times New Roman" w:eastAsia="楷体_GB2312" w:hAnsi="Times New Roman"/>
      <w:kern w:val="2"/>
      <w:sz w:val="18"/>
      <w:szCs w:val="22"/>
    </w:rPr>
  </w:style>
  <w:style w:type="character" w:customStyle="1" w:styleId="Char0">
    <w:name w:val="页脚 Char"/>
    <w:basedOn w:val="a0"/>
    <w:link w:val="a4"/>
    <w:uiPriority w:val="99"/>
    <w:qFormat/>
    <w:rPr>
      <w:rFonts w:ascii="Times New Roman" w:eastAsia="楷体_GB2312" w:hAnsi="Times New Roman"/>
      <w:kern w:val="2"/>
      <w:sz w:val="18"/>
      <w:szCs w:val="22"/>
    </w:rPr>
  </w:style>
  <w:style w:type="character" w:customStyle="1" w:styleId="2Char">
    <w:name w:val="标题 2 Char"/>
    <w:basedOn w:val="a0"/>
    <w:link w:val="2"/>
    <w:qFormat/>
    <w:rPr>
      <w:rFonts w:ascii="Arial" w:eastAsia="宋体" w:hAnsi="Arial"/>
      <w:b/>
      <w:kern w:val="2"/>
      <w:sz w:val="28"/>
      <w:szCs w:val="22"/>
    </w:rPr>
  </w:style>
  <w:style w:type="paragraph" w:customStyle="1" w:styleId="11">
    <w:name w:val="列出段落1"/>
    <w:basedOn w:val="a"/>
    <w:uiPriority w:val="34"/>
    <w:unhideWhenUsed/>
    <w:qFormat/>
    <w:pPr>
      <w:ind w:firstLine="420"/>
    </w:pPr>
  </w:style>
  <w:style w:type="paragraph" w:customStyle="1" w:styleId="TOC1">
    <w:name w:val="TOC 标题1"/>
    <w:basedOn w:val="1"/>
    <w:next w:val="a"/>
    <w:uiPriority w:val="39"/>
    <w:unhideWhenUsed/>
    <w:qFormat/>
    <w:pPr>
      <w:numPr>
        <w:numId w:val="0"/>
      </w:numPr>
      <w:tabs>
        <w:tab w:val="clear" w:pos="0"/>
      </w:tabs>
      <w:spacing w:before="480" w:line="276" w:lineRule="auto"/>
      <w:outlineLvl w:val="9"/>
    </w:pPr>
    <w:rPr>
      <w:rFonts w:asciiTheme="majorHAnsi" w:eastAsiaTheme="majorEastAsia" w:hAnsiTheme="majorHAnsi" w:cstheme="majorBidi"/>
      <w:bCs/>
      <w:color w:val="2E74B5" w:themeColor="accent1" w:themeShade="BF"/>
      <w:kern w:val="0"/>
      <w:szCs w:val="28"/>
    </w:rPr>
  </w:style>
  <w:style w:type="character" w:customStyle="1" w:styleId="4Char">
    <w:name w:val="标题 4 Char"/>
    <w:basedOn w:val="a0"/>
    <w:link w:val="4"/>
    <w:qFormat/>
    <w:rPr>
      <w:rFonts w:ascii="楷体_GB2312" w:eastAsia="楷体_GB2312" w:hAnsi="楷体_GB2312" w:cs="楷体_GB2312"/>
      <w:kern w:val="2"/>
      <w:sz w:val="24"/>
      <w:szCs w:val="22"/>
    </w:rPr>
  </w:style>
  <w:style w:type="paragraph" w:customStyle="1" w:styleId="Style1">
    <w:name w:val="_Style 1"/>
    <w:basedOn w:val="a"/>
    <w:uiPriority w:val="34"/>
    <w:qFormat/>
    <w:pPr>
      <w:widowControl w:val="0"/>
      <w:ind w:firstLine="420"/>
      <w:contextualSpacing/>
    </w:pPr>
    <w:rPr>
      <w:rFonts w:ascii="Calibri" w:hAnsi="Calibri" w:cs="Times New Roman"/>
      <w:sz w:val="21"/>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gsfzh.com/Article/Details?articleId=11223&amp;key=16&amp;childkey=17&amp;topicId=10" TargetMode="External"/><Relationship Id="rId26" Type="http://schemas.openxmlformats.org/officeDocument/2006/relationships/hyperlink" Target="http://www.gsfzh.com/Article/Details?articleId=11559&amp;key=16&amp;childkey=17&amp;topicId=10" TargetMode="External"/><Relationship Id="rId3" Type="http://schemas.openxmlformats.org/officeDocument/2006/relationships/numbering" Target="numbering.xml"/><Relationship Id="rId21" Type="http://schemas.openxmlformats.org/officeDocument/2006/relationships/hyperlink" Target="http://www.gsfzh.com/Article/Details?articleId=12599&amp;key=16&amp;childkey=17&amp;topicId=10"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gsfzh.com/Article/Details?articleId=11223&amp;key=16&amp;childkey=17&amp;topicId=10" TargetMode="External"/><Relationship Id="rId25" Type="http://schemas.openxmlformats.org/officeDocument/2006/relationships/hyperlink" Target="http://www.gsfzh.com/Article/Details?articleId=11223&amp;key=16&amp;childkey=17&amp;topicId=1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gsfzh.com/Article/Details?articleId=11559&amp;key=16&amp;childkey=17&amp;topicId=10" TargetMode="External"/><Relationship Id="rId29" Type="http://schemas.openxmlformats.org/officeDocument/2006/relationships/hyperlink" Target="http://www.gsfzh.com/Article/Details?articleId=11062&amp;key=16&amp;childkey=17&amp;topicId=1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gsfzh.com/Article/Details?articleId=11559&amp;key=16&amp;childkey=17&amp;topicId=10" TargetMode="Externa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yperlink" Target="http://www.gsfzh.com/Article/Details?articleId=11223&amp;key=16&amp;childkey=17&amp;topicId=10" TargetMode="External"/><Relationship Id="rId28" Type="http://schemas.openxmlformats.org/officeDocument/2006/relationships/hyperlink" Target="http://www.gsfzh.com/Article/Details?articleId=11062&amp;key=16&amp;childkey=17&amp;topicId=10" TargetMode="External"/><Relationship Id="rId10" Type="http://schemas.openxmlformats.org/officeDocument/2006/relationships/image" Target="media/image1.png"/><Relationship Id="rId19" Type="http://schemas.openxmlformats.org/officeDocument/2006/relationships/hyperlink" Target="http://www.gsfzh.com/Article/Details?articleId=11559&amp;key=16&amp;childkey=17&amp;topicId=10"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gsfzh.com/Article/Details?articleId=12599&amp;key=16&amp;childkey=17&amp;topicId=10" TargetMode="External"/><Relationship Id="rId27" Type="http://schemas.openxmlformats.org/officeDocument/2006/relationships/hyperlink" Target="http://www.gsfzh.com/Article/Details?articleId=11062&amp;key=16&amp;childkey=17&amp;topicId=10"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F06EAE-90F1-4B4C-8F73-22A7808B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2154</Words>
  <Characters>12281</Characters>
  <Application>Microsoft Office Word</Application>
  <DocSecurity>0</DocSecurity>
  <Lines>102</Lines>
  <Paragraphs>28</Paragraphs>
  <ScaleCrop>false</ScaleCrop>
  <Company>WIN</Company>
  <LinksUpToDate>false</LinksUpToDate>
  <CharactersWithSpaces>14407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224</cp:revision>
  <cp:lastPrinted>2017-07-03T00:26:00Z</cp:lastPrinted>
  <dcterms:created xsi:type="dcterms:W3CDTF">2017-06-12T07:50:00Z</dcterms:created>
  <dcterms:modified xsi:type="dcterms:W3CDTF">2017-09-29T01:21:00Z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